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Pr="00077A71" w:rsidRDefault="008151F7" w:rsidP="00077A71">
      <w:pPr>
        <w:pStyle w:val="a7"/>
        <w:spacing w:after="0" w:line="240" w:lineRule="auto"/>
        <w:jc w:val="right"/>
        <w:rPr>
          <w:rFonts w:ascii="Times New Roman" w:hAnsi="Times New Roman"/>
          <w:sz w:val="28"/>
          <w:szCs w:val="28"/>
        </w:rPr>
      </w:pPr>
      <w:r>
        <w:rPr>
          <w:rFonts w:ascii="Times New Roman" w:hAnsi="Times New Roman"/>
          <w:sz w:val="28"/>
          <w:szCs w:val="28"/>
        </w:rPr>
        <w:t>Г</w:t>
      </w:r>
      <w:r w:rsidR="00626159">
        <w:rPr>
          <w:rFonts w:ascii="Times New Roman" w:hAnsi="Times New Roman"/>
          <w:sz w:val="28"/>
          <w:szCs w:val="28"/>
        </w:rPr>
        <w:t>лав</w:t>
      </w:r>
      <w:r>
        <w:rPr>
          <w:rFonts w:ascii="Times New Roman" w:hAnsi="Times New Roman"/>
          <w:sz w:val="28"/>
          <w:szCs w:val="28"/>
        </w:rPr>
        <w:t>а</w:t>
      </w:r>
      <w:r w:rsidR="00626159">
        <w:rPr>
          <w:rFonts w:ascii="Times New Roman" w:hAnsi="Times New Roman"/>
          <w:sz w:val="28"/>
          <w:szCs w:val="28"/>
        </w:rPr>
        <w:t xml:space="preserve">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151F7">
        <w:rPr>
          <w:rFonts w:ascii="Times New Roman" w:hAnsi="Times New Roman"/>
          <w:sz w:val="28"/>
          <w:szCs w:val="28"/>
        </w:rPr>
        <w:t>Е.Э. Герман</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3A1B4F">
        <w:rPr>
          <w:rFonts w:ascii="Times New Roman" w:hAnsi="Times New Roman"/>
          <w:sz w:val="28"/>
          <w:szCs w:val="28"/>
        </w:rPr>
        <w:t>___</w:t>
      </w:r>
      <w:r w:rsidR="00077A71" w:rsidRPr="00077A71">
        <w:rPr>
          <w:rFonts w:ascii="Times New Roman" w:hAnsi="Times New Roman"/>
          <w:sz w:val="28"/>
          <w:szCs w:val="28"/>
        </w:rPr>
        <w:t xml:space="preserve">» </w:t>
      </w:r>
      <w:r w:rsidR="003A1B4F">
        <w:rPr>
          <w:rFonts w:ascii="Times New Roman" w:hAnsi="Times New Roman"/>
          <w:sz w:val="28"/>
          <w:szCs w:val="28"/>
        </w:rPr>
        <w:t>_______</w:t>
      </w:r>
      <w:r w:rsidR="00077A71" w:rsidRPr="00077A71">
        <w:rPr>
          <w:rFonts w:ascii="Times New Roman" w:hAnsi="Times New Roman"/>
          <w:sz w:val="28"/>
          <w:szCs w:val="28"/>
        </w:rPr>
        <w:t>20</w:t>
      </w:r>
      <w:r w:rsidR="00CA48AB">
        <w:rPr>
          <w:rFonts w:ascii="Times New Roman" w:hAnsi="Times New Roman"/>
          <w:sz w:val="28"/>
          <w:szCs w:val="28"/>
        </w:rPr>
        <w:t>2</w:t>
      </w:r>
      <w:r w:rsidR="00A50798">
        <w:rPr>
          <w:rFonts w:ascii="Times New Roman" w:hAnsi="Times New Roman"/>
          <w:sz w:val="28"/>
          <w:szCs w:val="28"/>
        </w:rPr>
        <w:t>4</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A50798">
        <w:rPr>
          <w:rFonts w:ascii="Times New Roman" w:hAnsi="Times New Roman"/>
          <w:b/>
          <w:caps/>
          <w:sz w:val="28"/>
          <w:szCs w:val="28"/>
        </w:rPr>
        <w:t>06</w:t>
      </w:r>
      <w:r w:rsidR="00F67F97">
        <w:rPr>
          <w:rFonts w:ascii="Times New Roman" w:hAnsi="Times New Roman"/>
          <w:b/>
          <w:caps/>
          <w:sz w:val="28"/>
          <w:szCs w:val="28"/>
        </w:rPr>
        <w:t xml:space="preserve"> </w:t>
      </w:r>
      <w:r w:rsidR="00A50798">
        <w:rPr>
          <w:rFonts w:ascii="Times New Roman" w:hAnsi="Times New Roman"/>
          <w:b/>
          <w:caps/>
          <w:sz w:val="28"/>
          <w:szCs w:val="28"/>
        </w:rPr>
        <w:t>мая</w:t>
      </w:r>
      <w:r w:rsidR="00F67F97">
        <w:rPr>
          <w:rFonts w:ascii="Times New Roman" w:hAnsi="Times New Roman"/>
          <w:b/>
          <w:caps/>
          <w:sz w:val="28"/>
          <w:szCs w:val="28"/>
        </w:rPr>
        <w:t xml:space="preserve"> </w:t>
      </w:r>
      <w:r w:rsidRPr="00AB1025">
        <w:rPr>
          <w:rFonts w:ascii="Times New Roman" w:hAnsi="Times New Roman"/>
          <w:b/>
          <w:caps/>
          <w:sz w:val="28"/>
          <w:szCs w:val="28"/>
        </w:rPr>
        <w:t>20</w:t>
      </w:r>
      <w:r w:rsidR="00D31570">
        <w:rPr>
          <w:rFonts w:ascii="Times New Roman" w:hAnsi="Times New Roman"/>
          <w:b/>
          <w:caps/>
          <w:sz w:val="28"/>
          <w:szCs w:val="28"/>
        </w:rPr>
        <w:t>2</w:t>
      </w:r>
      <w:r w:rsidR="00A50798">
        <w:rPr>
          <w:rFonts w:ascii="Times New Roman" w:hAnsi="Times New Roman"/>
          <w:b/>
          <w:caps/>
          <w:sz w:val="28"/>
          <w:szCs w:val="28"/>
        </w:rPr>
        <w:t xml:space="preserve">4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D4363E" w:rsidRDefault="00077A71" w:rsidP="00C7438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C74385">
        <w:rPr>
          <w:rFonts w:ascii="Times New Roman" w:hAnsi="Times New Roman"/>
          <w:sz w:val="28"/>
          <w:szCs w:val="28"/>
        </w:rPr>
        <w:t>4</w:t>
      </w:r>
    </w:p>
    <w:p w:rsidR="00C74385" w:rsidRPr="00835145" w:rsidRDefault="00C74385" w:rsidP="00C7438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B116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5</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B1162F" w:rsidP="00B1162F">
            <w:pPr>
              <w:spacing w:after="0" w:line="240" w:lineRule="auto"/>
            </w:pPr>
            <w:r w:rsidRPr="00D91866">
              <w:rPr>
                <w:rFonts w:ascii="Times New Roman" w:hAnsi="Times New Roman"/>
                <w:bCs/>
              </w:rPr>
              <w:t>Приложение № 4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Pr="00AB102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583C0A" w:rsidRDefault="001E30A2" w:rsidP="00C74385">
      <w:pPr>
        <w:ind w:firstLine="708"/>
        <w:jc w:val="both"/>
        <w:rPr>
          <w:rFonts w:ascii="Times New Roman" w:hAnsi="Times New Roman"/>
        </w:rPr>
      </w:pPr>
      <w:r w:rsidRPr="00F15B2A">
        <w:rPr>
          <w:rFonts w:ascii="Times New Roman" w:hAnsi="Times New Roman"/>
          <w:b/>
        </w:rPr>
        <w:t>3.</w:t>
      </w:r>
      <w:r w:rsidR="00A94F2F" w:rsidRPr="00F15B2A">
        <w:rPr>
          <w:rFonts w:ascii="Times New Roman" w:hAnsi="Times New Roman"/>
          <w:b/>
        </w:rPr>
        <w:t>1.1.</w:t>
      </w:r>
      <w:r w:rsidR="00583C0A" w:rsidRPr="00F15B2A">
        <w:rPr>
          <w:rFonts w:ascii="Times New Roman" w:hAnsi="Times New Roman"/>
        </w:rPr>
        <w:t>ПАЗ 32053-70, АВТОБУС ДЛЯ ПЕРЕВОЗКИ ДЕТЕЙ, идентификационный номер (VIN) X1М3205С</w:t>
      </w:r>
      <w:r w:rsidR="009E36B4" w:rsidRPr="00F15B2A">
        <w:rPr>
          <w:rFonts w:ascii="Times New Roman" w:hAnsi="Times New Roman"/>
          <w:lang w:val="en-US"/>
        </w:rPr>
        <w:t>X</w:t>
      </w:r>
      <w:r w:rsidR="00C74385" w:rsidRPr="00F15B2A">
        <w:rPr>
          <w:rFonts w:ascii="Times New Roman" w:hAnsi="Times New Roman"/>
        </w:rPr>
        <w:t>В000395</w:t>
      </w:r>
      <w:r w:rsidR="00583C0A" w:rsidRPr="00F15B2A">
        <w:rPr>
          <w:rFonts w:ascii="Times New Roman" w:hAnsi="Times New Roman"/>
        </w:rPr>
        <w:t xml:space="preserve">9, категория ТС – </w:t>
      </w:r>
      <w:r w:rsidR="00583C0A" w:rsidRPr="00F15B2A">
        <w:rPr>
          <w:rFonts w:ascii="Times New Roman" w:hAnsi="Times New Roman"/>
          <w:lang w:val="en-US"/>
        </w:rPr>
        <w:t>D</w:t>
      </w:r>
      <w:r w:rsidR="00C74385" w:rsidRPr="00F15B2A">
        <w:rPr>
          <w:rFonts w:ascii="Times New Roman" w:hAnsi="Times New Roman"/>
        </w:rPr>
        <w:t>, 2011</w:t>
      </w:r>
      <w:r w:rsidR="00583C0A" w:rsidRPr="00F15B2A">
        <w:rPr>
          <w:rFonts w:ascii="Times New Roman" w:hAnsi="Times New Roman"/>
        </w:rPr>
        <w:t xml:space="preserve"> год изготовления; </w:t>
      </w:r>
      <w:r w:rsidR="00C74385" w:rsidRPr="00F15B2A">
        <w:rPr>
          <w:rFonts w:ascii="Times New Roman" w:hAnsi="Times New Roman"/>
        </w:rPr>
        <w:t>Модель, № двигателя – 523400 № В1005221</w:t>
      </w:r>
      <w:r w:rsidR="00583C0A" w:rsidRPr="00F15B2A">
        <w:rPr>
          <w:rFonts w:ascii="Times New Roman" w:hAnsi="Times New Roman"/>
        </w:rPr>
        <w:t>; Шасси (рама) № ОТСУТСТВУ</w:t>
      </w:r>
      <w:r w:rsidR="00C74385" w:rsidRPr="00F15B2A">
        <w:rPr>
          <w:rFonts w:ascii="Times New Roman" w:hAnsi="Times New Roman"/>
        </w:rPr>
        <w:t>ЕТ; Кузов (коляска) № Х1М3205СХВ000395</w:t>
      </w:r>
      <w:r w:rsidR="00583C0A" w:rsidRPr="00F15B2A">
        <w:rPr>
          <w:rFonts w:ascii="Times New Roman" w:hAnsi="Times New Roman"/>
        </w:rPr>
        <w:t xml:space="preserve">9; цвет кузова (кабины) ЖЕЛТЫЙ, государственный знак </w:t>
      </w:r>
      <w:r w:rsidR="00C74385" w:rsidRPr="00F15B2A">
        <w:rPr>
          <w:rFonts w:ascii="Times New Roman" w:hAnsi="Times New Roman"/>
        </w:rPr>
        <w:t>Н620ТО</w:t>
      </w:r>
      <w:r w:rsidR="00583C0A" w:rsidRPr="00F15B2A">
        <w:rPr>
          <w:rFonts w:ascii="Times New Roman" w:hAnsi="Times New Roman"/>
        </w:rPr>
        <w:t xml:space="preserve"> 22</w:t>
      </w:r>
      <w:r w:rsidR="00583C0A" w:rsidRPr="00F15B2A">
        <w:rPr>
          <w:rFonts w:ascii="Times New Roman" w:hAnsi="Times New Roman"/>
        </w:rPr>
        <w:tab/>
        <w:t>.</w:t>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Pr="00F15B2A">
        <w:rPr>
          <w:rFonts w:ascii="Times New Roman" w:hAnsi="Times New Roman"/>
          <w:b/>
        </w:rPr>
        <w:t>3.1.</w:t>
      </w:r>
      <w:r w:rsidR="00A94F2F" w:rsidRPr="00F15B2A">
        <w:rPr>
          <w:rFonts w:ascii="Times New Roman" w:hAnsi="Times New Roman"/>
          <w:b/>
        </w:rPr>
        <w:t>2.</w:t>
      </w:r>
      <w:r w:rsidR="00A94F2F" w:rsidRPr="00F15B2A">
        <w:rPr>
          <w:rFonts w:ascii="Times New Roman" w:hAnsi="Times New Roman"/>
          <w:b/>
          <w:color w:val="000000"/>
        </w:rPr>
        <w:t>Начальная цена объекта</w:t>
      </w:r>
      <w:r w:rsidR="00A94F2F" w:rsidRPr="00F15B2A">
        <w:rPr>
          <w:rFonts w:ascii="Times New Roman" w:hAnsi="Times New Roman"/>
          <w:color w:val="000000"/>
        </w:rPr>
        <w:t xml:space="preserve">: </w:t>
      </w:r>
      <w:r w:rsidR="00C74385" w:rsidRPr="00F15B2A">
        <w:rPr>
          <w:rFonts w:ascii="Times New Roman" w:hAnsi="Times New Roman"/>
          <w:color w:val="000000"/>
        </w:rPr>
        <w:t>144123</w:t>
      </w:r>
      <w:r w:rsidR="00A94F2F" w:rsidRPr="00F15B2A">
        <w:rPr>
          <w:rFonts w:ascii="Times New Roman" w:hAnsi="Times New Roman"/>
          <w:color w:val="000000"/>
        </w:rPr>
        <w:t xml:space="preserve"> (</w:t>
      </w:r>
      <w:r w:rsidR="00C74385" w:rsidRPr="00F15B2A">
        <w:rPr>
          <w:rFonts w:ascii="Times New Roman" w:hAnsi="Times New Roman"/>
          <w:color w:val="000000"/>
        </w:rPr>
        <w:t>сто сорок четыре тысячи сто двадцать три ) руб. 00</w:t>
      </w:r>
      <w:r w:rsidR="00A94F2F" w:rsidRPr="00F15B2A">
        <w:rPr>
          <w:rFonts w:ascii="Times New Roman" w:hAnsi="Times New Roman"/>
          <w:color w:val="000000"/>
        </w:rPr>
        <w:t xml:space="preserve"> коп.</w:t>
      </w:r>
      <w:r w:rsidR="000774ED" w:rsidRPr="00F15B2A">
        <w:rPr>
          <w:rFonts w:ascii="Times New Roman" w:hAnsi="Times New Roman"/>
          <w:color w:val="000000"/>
        </w:rPr>
        <w:t xml:space="preserve"> </w:t>
      </w:r>
      <w:r w:rsidR="00427D07" w:rsidRPr="00F15B2A">
        <w:rPr>
          <w:rFonts w:ascii="Times New Roman" w:hAnsi="Times New Roman"/>
          <w:color w:val="000000"/>
        </w:rPr>
        <w:t>без</w:t>
      </w:r>
      <w:r w:rsidR="00A94F2F" w:rsidRPr="00F15B2A">
        <w:rPr>
          <w:rFonts w:ascii="Times New Roman" w:hAnsi="Times New Roman"/>
          <w:color w:val="000000"/>
        </w:rPr>
        <w:t xml:space="preserve"> учет</w:t>
      </w:r>
      <w:r w:rsidR="00427D07" w:rsidRPr="00F15B2A">
        <w:rPr>
          <w:rFonts w:ascii="Times New Roman" w:hAnsi="Times New Roman"/>
          <w:color w:val="000000"/>
        </w:rPr>
        <w:t>а</w:t>
      </w:r>
      <w:r w:rsidR="00A94F2F" w:rsidRPr="00F15B2A">
        <w:rPr>
          <w:rFonts w:ascii="Times New Roman" w:hAnsi="Times New Roman"/>
          <w:color w:val="000000"/>
        </w:rPr>
        <w:t xml:space="preserve"> НДС.</w:t>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C74385" w:rsidRPr="00F15B2A">
        <w:rPr>
          <w:rFonts w:ascii="Times New Roman" w:hAnsi="Times New Roman"/>
        </w:rPr>
        <w:tab/>
      </w:r>
      <w:r w:rsidRPr="00F15B2A">
        <w:rPr>
          <w:rFonts w:ascii="Times New Roman" w:hAnsi="Times New Roman"/>
          <w:b/>
        </w:rPr>
        <w:t>3.1.</w:t>
      </w:r>
      <w:r w:rsidR="00A94F2F" w:rsidRPr="00F15B2A">
        <w:rPr>
          <w:rFonts w:ascii="Times New Roman" w:hAnsi="Times New Roman"/>
          <w:b/>
        </w:rPr>
        <w:t>3.Величина повышения начальной цены</w:t>
      </w:r>
      <w:r w:rsidR="00A94F2F" w:rsidRPr="00F15B2A">
        <w:rPr>
          <w:rFonts w:ascii="Times New Roman" w:hAnsi="Times New Roman"/>
        </w:rPr>
        <w:t xml:space="preserve"> («шаг аукциона», 5% от начальной цены продажи) – </w:t>
      </w:r>
      <w:r w:rsidR="00C74385" w:rsidRPr="00F15B2A">
        <w:rPr>
          <w:rFonts w:ascii="Times New Roman" w:hAnsi="Times New Roman"/>
        </w:rPr>
        <w:t xml:space="preserve">7206 </w:t>
      </w:r>
      <w:r w:rsidR="00A94F2F" w:rsidRPr="00F15B2A">
        <w:rPr>
          <w:rFonts w:ascii="Times New Roman" w:hAnsi="Times New Roman"/>
          <w:color w:val="000000"/>
        </w:rPr>
        <w:t>(</w:t>
      </w:r>
      <w:r w:rsidR="00C74385" w:rsidRPr="00F15B2A">
        <w:rPr>
          <w:rFonts w:ascii="Times New Roman" w:hAnsi="Times New Roman"/>
          <w:color w:val="000000"/>
        </w:rPr>
        <w:t>семь тысяч</w:t>
      </w:r>
      <w:r w:rsidR="00C74385">
        <w:rPr>
          <w:rFonts w:ascii="Times New Roman" w:hAnsi="Times New Roman"/>
          <w:color w:val="000000"/>
        </w:rPr>
        <w:t xml:space="preserve"> двести шесть</w:t>
      </w:r>
      <w:r w:rsidR="003A1B4F">
        <w:rPr>
          <w:rFonts w:ascii="Times New Roman" w:hAnsi="Times New Roman"/>
          <w:color w:val="000000"/>
        </w:rPr>
        <w:t>)</w:t>
      </w:r>
      <w:r w:rsidR="00A94F2F" w:rsidRPr="00AB1025">
        <w:rPr>
          <w:rFonts w:ascii="Times New Roman" w:hAnsi="Times New Roman"/>
          <w:color w:val="000000"/>
        </w:rPr>
        <w:t xml:space="preserve"> руб. </w:t>
      </w:r>
      <w:r w:rsidR="00C74385">
        <w:rPr>
          <w:rFonts w:ascii="Times New Roman" w:hAnsi="Times New Roman"/>
          <w:color w:val="000000"/>
        </w:rPr>
        <w:t>20</w:t>
      </w:r>
      <w:r w:rsidR="00A94F2F" w:rsidRPr="00AB1025">
        <w:rPr>
          <w:rFonts w:ascii="Times New Roman" w:hAnsi="Times New Roman"/>
          <w:color w:val="000000"/>
        </w:rPr>
        <w:t xml:space="preserve">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C74385">
        <w:rPr>
          <w:rFonts w:ascii="Times New Roman" w:hAnsi="Times New Roman"/>
        </w:rPr>
        <w:t>14412</w:t>
      </w:r>
      <w:r w:rsidR="00A94F2F" w:rsidRPr="00AB1025">
        <w:rPr>
          <w:rFonts w:ascii="Times New Roman" w:hAnsi="Times New Roman"/>
          <w:color w:val="000000"/>
        </w:rPr>
        <w:t xml:space="preserve"> (</w:t>
      </w:r>
      <w:r w:rsidR="00F15B2A">
        <w:rPr>
          <w:rFonts w:ascii="Times New Roman" w:hAnsi="Times New Roman"/>
          <w:color w:val="000000"/>
        </w:rPr>
        <w:t>четырнадцать тысяч четыреста двенадцать</w:t>
      </w:r>
      <w:r w:rsidR="00C74385">
        <w:rPr>
          <w:rFonts w:ascii="Times New Roman" w:hAnsi="Times New Roman"/>
          <w:color w:val="000000"/>
        </w:rPr>
        <w:t>) руб. 3</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A94F2F" w:rsidRPr="00AB1025">
        <w:rPr>
          <w:b/>
          <w:sz w:val="22"/>
          <w:szCs w:val="22"/>
        </w:rPr>
        <w:t xml:space="preserve">5.Обременения </w:t>
      </w:r>
      <w:r w:rsidR="00A94F2F" w:rsidRPr="00AB1025">
        <w:rPr>
          <w:sz w:val="22"/>
          <w:szCs w:val="22"/>
        </w:rPr>
        <w:t>-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3.1.</w:t>
      </w:r>
      <w:r w:rsidR="00A94F2F" w:rsidRPr="00AB1025">
        <w:rPr>
          <w:b/>
          <w:sz w:val="22"/>
          <w:szCs w:val="22"/>
        </w:rPr>
        <w:t xml:space="preserve">6.Сведения о предыдущих торгах – </w:t>
      </w:r>
      <w:r w:rsidR="00816545" w:rsidRPr="00816545">
        <w:rPr>
          <w:sz w:val="22"/>
          <w:szCs w:val="22"/>
        </w:rPr>
        <w:t>имущество ранее</w:t>
      </w:r>
      <w:r w:rsidR="004C0A6C">
        <w:rPr>
          <w:sz w:val="22"/>
          <w:szCs w:val="22"/>
        </w:rPr>
        <w:t xml:space="preserve"> не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A94F2F" w:rsidRPr="00AB1025">
        <w:rPr>
          <w:rFonts w:ascii="Times New Roman" w:hAnsi="Times New Roman"/>
          <w:b/>
        </w:rPr>
        <w:t>7.Основание проведения торгов:</w:t>
      </w:r>
      <w:r w:rsidR="000774ED">
        <w:rPr>
          <w:rFonts w:ascii="Times New Roman" w:hAnsi="Times New Roman"/>
          <w:b/>
        </w:rPr>
        <w:t xml:space="preserve"> </w:t>
      </w:r>
      <w:r w:rsidR="00F66602" w:rsidRPr="00C372C6">
        <w:rPr>
          <w:rFonts w:ascii="Times New Roman" w:hAnsi="Times New Roman"/>
        </w:rPr>
        <w:t>постановление Администрации Третьяковского района Алтайского края от</w:t>
      </w:r>
      <w:r w:rsidR="00C372C6" w:rsidRPr="00C372C6">
        <w:rPr>
          <w:rFonts w:ascii="Times New Roman" w:hAnsi="Times New Roman"/>
        </w:rPr>
        <w:t xml:space="preserve">  26.03</w:t>
      </w:r>
      <w:r w:rsidR="000774ED" w:rsidRPr="00C372C6">
        <w:rPr>
          <w:rFonts w:ascii="Times New Roman" w:hAnsi="Times New Roman"/>
        </w:rPr>
        <w:t>.202</w:t>
      </w:r>
      <w:r w:rsidR="00C372C6" w:rsidRPr="00C372C6">
        <w:rPr>
          <w:rFonts w:ascii="Times New Roman" w:hAnsi="Times New Roman"/>
        </w:rPr>
        <w:t>4</w:t>
      </w:r>
      <w:r w:rsidR="000774ED" w:rsidRPr="00C372C6">
        <w:rPr>
          <w:rFonts w:ascii="Times New Roman" w:hAnsi="Times New Roman"/>
        </w:rPr>
        <w:t xml:space="preserve"> </w:t>
      </w:r>
      <w:r w:rsidR="00F66602" w:rsidRPr="00C372C6">
        <w:rPr>
          <w:rFonts w:ascii="Times New Roman" w:hAnsi="Times New Roman"/>
        </w:rPr>
        <w:t>№</w:t>
      </w:r>
      <w:r w:rsidR="00C372C6" w:rsidRPr="00C372C6">
        <w:rPr>
          <w:rFonts w:ascii="Times New Roman" w:hAnsi="Times New Roman"/>
        </w:rPr>
        <w:t>105</w:t>
      </w:r>
      <w:r w:rsidR="00F66602">
        <w:rPr>
          <w:rFonts w:ascii="Times New Roman" w:hAnsi="Times New Roman"/>
        </w:rPr>
        <w:t xml:space="preserve"> </w:t>
      </w:r>
      <w:r w:rsidR="00740329">
        <w:rPr>
          <w:rFonts w:ascii="Times New Roman" w:hAnsi="Times New Roman"/>
        </w:rPr>
        <w:t xml:space="preserve"> «О проведении аукциона на право заключения договора купли-продажи муниципального имущества»</w:t>
      </w:r>
      <w:r w:rsidR="00A94F2F" w:rsidRPr="00AB1025">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w:t>
      </w:r>
      <w:r w:rsidR="00F15B2A" w:rsidRPr="00A119CE">
        <w:rPr>
          <w:sz w:val="22"/>
          <w:szCs w:val="22"/>
        </w:rPr>
        <w:t xml:space="preserve">даты </w:t>
      </w:r>
      <w:r w:rsidR="00F15B2A">
        <w:rPr>
          <w:sz w:val="22"/>
          <w:szCs w:val="22"/>
        </w:rPr>
        <w:t>размещения</w:t>
      </w:r>
      <w:r w:rsidR="00A119CE">
        <w:rPr>
          <w:sz w:val="22"/>
          <w:szCs w:val="22"/>
        </w:rPr>
        <w:t xml:space="preserve">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lastRenderedPageBreak/>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F15B2A">
        <w:rPr>
          <w:sz w:val="22"/>
          <w:szCs w:val="22"/>
        </w:rPr>
        <w:t>01 апреля</w:t>
      </w:r>
      <w:r w:rsidR="00A94F2F" w:rsidRPr="000C0C5E">
        <w:rPr>
          <w:sz w:val="22"/>
          <w:szCs w:val="22"/>
        </w:rPr>
        <w:t xml:space="preserve"> 20</w:t>
      </w:r>
      <w:r w:rsidR="0057287E">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07:00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F15B2A">
        <w:rPr>
          <w:sz w:val="22"/>
          <w:szCs w:val="22"/>
        </w:rPr>
        <w:t>26 апреля</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F15B2A">
        <w:rPr>
          <w:sz w:val="22"/>
          <w:szCs w:val="22"/>
        </w:rPr>
        <w:t>02 мая</w:t>
      </w:r>
      <w:r w:rsidR="00A94F2F" w:rsidRPr="000C0C5E">
        <w:rPr>
          <w:sz w:val="22"/>
          <w:szCs w:val="22"/>
        </w:rPr>
        <w:t xml:space="preserve"> 20</w:t>
      </w:r>
      <w:r w:rsidR="00D31570">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F15B2A">
        <w:rPr>
          <w:sz w:val="22"/>
          <w:szCs w:val="22"/>
        </w:rPr>
        <w:t>06 мая</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07:00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F15B2A">
        <w:rPr>
          <w:sz w:val="22"/>
          <w:szCs w:val="22"/>
        </w:rPr>
        <w:t>26 апреля</w:t>
      </w:r>
      <w:r w:rsidR="0078047C">
        <w:rPr>
          <w:sz w:val="22"/>
          <w:szCs w:val="22"/>
        </w:rPr>
        <w:t xml:space="preserve"> 20</w:t>
      </w:r>
      <w:r w:rsidR="00D31570">
        <w:rPr>
          <w:sz w:val="22"/>
          <w:szCs w:val="22"/>
        </w:rPr>
        <w:t>2</w:t>
      </w:r>
      <w:r w:rsidR="00F15B2A">
        <w:rPr>
          <w:sz w:val="22"/>
          <w:szCs w:val="22"/>
        </w:rPr>
        <w:t>4</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 xml:space="preserve">о дня поступления уведомления об отзыве заявки. В случае отзыва </w:t>
      </w:r>
      <w:r>
        <w:rPr>
          <w:rFonts w:ascii="Times New Roman" w:hAnsi="Times New Roman"/>
        </w:rPr>
        <w:lastRenderedPageBreak/>
        <w:t>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315606">
        <w:rPr>
          <w:rFonts w:ascii="Times New Roman" w:hAnsi="Times New Roman"/>
        </w:rPr>
        <w:t>, 3</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2328B">
        <w:rPr>
          <w:rFonts w:ascii="Times New Roman" w:hAnsi="Times New Roman"/>
        </w:rPr>
        <w:t xml:space="preserve"> (</w:t>
      </w:r>
      <w:r w:rsidR="008151F7">
        <w:rPr>
          <w:rFonts w:ascii="Times New Roman" w:hAnsi="Times New Roman"/>
        </w:rPr>
        <w:t>лицевая и прописка</w:t>
      </w:r>
      <w:r w:rsidR="0072328B">
        <w:rPr>
          <w:rFonts w:ascii="Times New Roman" w:hAnsi="Times New Roman"/>
        </w:rPr>
        <w:t>)</w:t>
      </w:r>
      <w:r w:rsidRPr="007B108B">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F93F57" w:rsidRPr="005B682F" w:rsidRDefault="00F93F57" w:rsidP="00F93F57">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Pr="00AB1025">
        <w:rPr>
          <w:sz w:val="22"/>
          <w:szCs w:val="22"/>
        </w:rPr>
        <w:t xml:space="preserve"> ив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lastRenderedPageBreak/>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lastRenderedPageBreak/>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w:t>
      </w:r>
      <w:r w:rsidR="000774ED">
        <w:rPr>
          <w:rFonts w:ascii="Times New Roman" w:hAnsi="Times New Roman"/>
        </w:rPr>
        <w:t xml:space="preserve"> </w:t>
      </w:r>
      <w:r w:rsidRPr="00FA40C6">
        <w:rPr>
          <w:rFonts w:ascii="Times New Roman" w:hAnsi="Times New Roman"/>
        </w:rPr>
        <w:t xml:space="preserve"> размещения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sidR="000774ED">
        <w:rPr>
          <w:rFonts w:ascii="Times New Roman" w:hAnsi="Times New Roman" w:cs="Times New Roman"/>
          <w:bCs/>
          <w:sz w:val="22"/>
          <w:szCs w:val="22"/>
        </w:rPr>
        <w:t xml:space="preserve"> </w:t>
      </w:r>
      <w:r>
        <w:rPr>
          <w:rFonts w:ascii="Times New Roman" w:hAnsi="Times New Roman" w:cs="Times New Roman"/>
          <w:sz w:val="22"/>
          <w:szCs w:val="22"/>
        </w:rPr>
        <w:t>с</w:t>
      </w:r>
      <w:r w:rsidR="000774ED">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sidR="000774ED">
        <w:rPr>
          <w:rFonts w:ascii="Times New Roman" w:hAnsi="Times New Roman" w:cs="Times New Roman"/>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lastRenderedPageBreak/>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 xml:space="preserve">ного имущества осуществляется по акту приема-передачи в течение 5рабочих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A720E3" w:rsidRDefault="00A720E3" w:rsidP="00647311">
      <w:pPr>
        <w:pStyle w:val="af1"/>
        <w:ind w:right="-284"/>
        <w:jc w:val="both"/>
        <w:rPr>
          <w:rFonts w:ascii="Times New Roman" w:hAnsi="Times New Roman" w:cs="Times New Roman"/>
        </w:rPr>
      </w:pPr>
      <w:bookmarkStart w:id="0" w:name="_GoBack"/>
      <w:bookmarkEnd w:id="0"/>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1D59F3">
        <w:rPr>
          <w:rFonts w:ascii="Times New Roman" w:hAnsi="Times New Roman"/>
          <w:sz w:val="20"/>
          <w:szCs w:val="20"/>
        </w:rPr>
        <w:t>3</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647311" w:rsidRDefault="00427D07"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4.   Банковские реквизиты – 1 экз.</w:t>
      </w:r>
    </w:p>
    <w:p w:rsidR="00647311"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E46742">
        <w:t>4</w:t>
      </w:r>
      <w:r w:rsidRPr="00427D07">
        <w:t xml:space="preserve"> год» от </w:t>
      </w:r>
      <w:r w:rsidR="00E46742">
        <w:t>01.11.2023</w:t>
      </w:r>
      <w:r w:rsidR="00C002A6" w:rsidRPr="00C002A6">
        <w:t xml:space="preserve"> № </w:t>
      </w:r>
      <w:r w:rsidR="00E46742">
        <w:t>54</w:t>
      </w:r>
      <w:r w:rsidR="00C002A6" w:rsidRPr="00C002A6">
        <w:t xml:space="preserve"> «О прогнозном плане (программе) приватизации муниципального имущества Третьяковс</w:t>
      </w:r>
      <w:r w:rsidR="00E46742">
        <w:t>кого района на 2024</w:t>
      </w:r>
      <w:r w:rsidR="00C002A6" w:rsidRPr="00C002A6">
        <w:t xml:space="preserve"> год</w:t>
      </w:r>
      <w:r w:rsidR="00C002A6" w:rsidRPr="00C372C6">
        <w:t>»</w:t>
      </w:r>
      <w:r w:rsidRPr="00C372C6">
        <w:t xml:space="preserve">,  Постановления Администрации Третьяковского района Алтайского края от </w:t>
      </w:r>
      <w:r w:rsidR="00C372C6" w:rsidRPr="00C372C6">
        <w:t>26</w:t>
      </w:r>
      <w:r w:rsidR="00740329" w:rsidRPr="00C372C6">
        <w:t>.</w:t>
      </w:r>
      <w:r w:rsidR="002328A4" w:rsidRPr="00C372C6">
        <w:t>0</w:t>
      </w:r>
      <w:r w:rsidR="00C372C6" w:rsidRPr="00C372C6">
        <w:t>3</w:t>
      </w:r>
      <w:r w:rsidRPr="00C372C6">
        <w:t>.20</w:t>
      </w:r>
      <w:r w:rsidR="00E679D3" w:rsidRPr="00C372C6">
        <w:t>2</w:t>
      </w:r>
      <w:r w:rsidR="00C372C6" w:rsidRPr="00C372C6">
        <w:t>4</w:t>
      </w:r>
      <w:r w:rsidRPr="00C372C6">
        <w:t>г. №</w:t>
      </w:r>
      <w:r w:rsidR="00C372C6" w:rsidRPr="00C372C6">
        <w:t xml:space="preserve">105 </w:t>
      </w:r>
      <w:r w:rsidRPr="00C372C6">
        <w:t>«О проведении аукциона на право заключения договора купли-продажи муниципального имущества</w:t>
      </w:r>
      <w:r w:rsidRPr="00427D07">
        <w:t xml:space="preserve">», положениями информационного сообщения, размещенного на сайтах </w:t>
      </w:r>
      <w:hyperlink r:id="rId18"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9" w:history="1">
        <w:r w:rsidR="00C002A6" w:rsidRPr="00A778DD">
          <w:rPr>
            <w:rStyle w:val="a9"/>
          </w:rPr>
          <w:t>https://tretyakovskij-rajon.gosuslugi.ru/</w:t>
        </w:r>
      </w:hyperlink>
      <w:r w:rsidR="000346A8" w:rsidRPr="00427D07">
        <w:t xml:space="preserve"> и на основании протокола об итогах аукциона от «__» _______ 20</w:t>
      </w:r>
      <w:r w:rsidR="006E73B6">
        <w:t>2</w:t>
      </w:r>
      <w:r w:rsidR="00E46742">
        <w:t>4</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обязуется оплатить и принять в собственность следующее имущество:_________________________________________________________,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________(далее Имущество).</w:t>
      </w:r>
    </w:p>
    <w:p w:rsidR="00C928C7" w:rsidRPr="00C372C6"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E46742">
        <w:rPr>
          <w:rFonts w:ascii="Times New Roman" w:hAnsi="Times New Roman"/>
          <w:sz w:val="24"/>
          <w:szCs w:val="24"/>
          <w:lang w:eastAsia="ru-RU"/>
        </w:rPr>
        <w:t>4</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E46742">
        <w:rPr>
          <w:rFonts w:ascii="Times New Roman" w:hAnsi="Times New Roman"/>
          <w:sz w:val="24"/>
          <w:szCs w:val="24"/>
          <w:lang w:eastAsia="ru-RU"/>
        </w:rPr>
        <w:t>01.11.2023</w:t>
      </w:r>
      <w:r w:rsidR="00C002A6" w:rsidRPr="00C002A6">
        <w:rPr>
          <w:rFonts w:ascii="Times New Roman" w:hAnsi="Times New Roman"/>
          <w:sz w:val="24"/>
          <w:szCs w:val="24"/>
          <w:lang w:eastAsia="ru-RU"/>
        </w:rPr>
        <w:t xml:space="preserve"> № </w:t>
      </w:r>
      <w:r w:rsidR="00E46742">
        <w:rPr>
          <w:rFonts w:ascii="Times New Roman" w:hAnsi="Times New Roman"/>
          <w:sz w:val="24"/>
          <w:szCs w:val="24"/>
          <w:lang w:eastAsia="ru-RU"/>
        </w:rPr>
        <w:t>54</w:t>
      </w:r>
      <w:r w:rsidR="00C002A6"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E46742">
        <w:rPr>
          <w:rFonts w:ascii="Times New Roman" w:hAnsi="Times New Roman"/>
          <w:sz w:val="24"/>
          <w:szCs w:val="24"/>
          <w:lang w:eastAsia="ru-RU"/>
        </w:rPr>
        <w:t>ва Третьяковского района на 2024</w:t>
      </w:r>
      <w:r w:rsidR="00C002A6" w:rsidRPr="00C002A6">
        <w:rPr>
          <w:rFonts w:ascii="Times New Roman" w:hAnsi="Times New Roman"/>
          <w:sz w:val="24"/>
          <w:szCs w:val="24"/>
          <w:lang w:eastAsia="ru-RU"/>
        </w:rPr>
        <w:t xml:space="preserve"> год</w:t>
      </w:r>
      <w:r w:rsidRPr="00C928C7">
        <w:rPr>
          <w:rFonts w:ascii="Times New Roman" w:hAnsi="Times New Roman"/>
          <w:sz w:val="24"/>
          <w:szCs w:val="24"/>
          <w:lang w:eastAsia="ru-RU"/>
        </w:rPr>
        <w:t xml:space="preserve">,  </w:t>
      </w:r>
      <w:r w:rsidR="00C372C6" w:rsidRPr="00C372C6">
        <w:rPr>
          <w:rFonts w:ascii="Times New Roman" w:hAnsi="Times New Roman"/>
        </w:rPr>
        <w:t>Постановления Администрации Третьяковского района Алтайского края от 26.03.2024г. №105 «О проведении аукциона на право заключения договора купли-продажи муниципального имущества»</w:t>
      </w:r>
      <w:r w:rsidR="00C372C6" w:rsidRPr="00C372C6">
        <w:rPr>
          <w:rFonts w:ascii="Times New Roman" w:hAnsi="Times New Roman"/>
          <w:sz w:val="24"/>
          <w:szCs w:val="24"/>
          <w:lang w:eastAsia="ru-RU"/>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такого рода имуществу с учетом его износа,  претензий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sidR="009E421A">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9E421A" w:rsidRPr="00C928C7" w:rsidRDefault="009E421A" w:rsidP="00C928C7">
      <w:pPr>
        <w:spacing w:after="0" w:line="240" w:lineRule="auto"/>
        <w:jc w:val="both"/>
        <w:rPr>
          <w:rFonts w:ascii="Times New Roman" w:hAnsi="Times New Roman"/>
          <w:sz w:val="24"/>
          <w:szCs w:val="24"/>
          <w:lang w:eastAsia="ru-RU"/>
        </w:rPr>
      </w:pP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24" w:rsidRDefault="00DF2D24" w:rsidP="00B70277">
      <w:pPr>
        <w:spacing w:after="0" w:line="240" w:lineRule="auto"/>
      </w:pPr>
      <w:r>
        <w:separator/>
      </w:r>
    </w:p>
  </w:endnote>
  <w:endnote w:type="continuationSeparator" w:id="0">
    <w:p w:rsidR="00DF2D24" w:rsidRDefault="00DF2D24"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A50798" w:rsidRDefault="00A50798">
        <w:pPr>
          <w:pStyle w:val="af7"/>
          <w:jc w:val="right"/>
        </w:pPr>
        <w:r>
          <w:fldChar w:fldCharType="begin"/>
        </w:r>
        <w:r>
          <w:instrText xml:space="preserve"> PAGE   \* MERGEFORMAT </w:instrText>
        </w:r>
        <w:r>
          <w:fldChar w:fldCharType="separate"/>
        </w:r>
        <w:r w:rsidR="00A720E3">
          <w:rPr>
            <w:noProof/>
          </w:rPr>
          <w:t>1</w:t>
        </w:r>
        <w:r>
          <w:rPr>
            <w:noProof/>
          </w:rPr>
          <w:fldChar w:fldCharType="end"/>
        </w:r>
      </w:p>
    </w:sdtContent>
  </w:sdt>
  <w:p w:rsidR="00A50798" w:rsidRDefault="00A5079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798" w:rsidRDefault="00A50798"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24" w:rsidRDefault="00DF2D24" w:rsidP="00B70277">
      <w:pPr>
        <w:spacing w:after="0" w:line="240" w:lineRule="auto"/>
      </w:pPr>
      <w:r>
        <w:separator/>
      </w:r>
    </w:p>
  </w:footnote>
  <w:footnote w:type="continuationSeparator" w:id="0">
    <w:p w:rsidR="00DF2D24" w:rsidRDefault="00DF2D24"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798" w:rsidRDefault="00A5079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50798" w:rsidRDefault="00A5079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798" w:rsidRDefault="00A50798"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262"/>
    <w:rsid w:val="0021512E"/>
    <w:rsid w:val="002157F3"/>
    <w:rsid w:val="002163B9"/>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4385"/>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8D34"/>
  <w15:docId w15:val="{FA3A3135-CB88-4DDC-88D9-AAFA76D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885A3-02C3-4595-B3D6-1F5D51CB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7789</Words>
  <Characters>44401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39</cp:revision>
  <cp:lastPrinted>2023-04-11T05:03:00Z</cp:lastPrinted>
  <dcterms:created xsi:type="dcterms:W3CDTF">2019-09-05T09:44:00Z</dcterms:created>
  <dcterms:modified xsi:type="dcterms:W3CDTF">2024-03-26T03:36:00Z</dcterms:modified>
</cp:coreProperties>
</file>