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r w:rsidR="00E5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7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1692" w:rsidRDefault="00E51FA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Третьяковском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1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3.07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.202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200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711692" w:rsidRPr="00D94BFC">
          <w:rPr>
            <w:rStyle w:val="a3"/>
          </w:rPr>
          <w:t>https://tretyakovskij-rajon.gosuslugi.ru/deyatelnost/napravleniya-deyatelnosti/ekonomika-i-finansy/dokumenty/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</w:t>
        </w:r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l</w:t>
        </w:r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FC4157">
        <w:rPr>
          <w:rFonts w:ascii="Times New Roman" w:hAnsi="Times New Roman" w:cs="Times New Roman"/>
          <w:color w:val="auto"/>
          <w:sz w:val="24"/>
          <w:szCs w:val="24"/>
        </w:rPr>
        <w:t>Третьяковскому</w:t>
      </w:r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 предприни-матели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юриди-ческие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пред-приятия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пред-приятия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8721F9" w:rsidP="00F67EB0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21F9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8721F9" w:rsidP="00F67EB0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21F9" w:rsidP="007856DB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8A3BE1" w:rsidRDefault="008A3BE1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4D2C83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8721F9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21F9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8721F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65" w:rsidRPr="00EC0131" w:rsidTr="004D2C83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4D2C83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6FB0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FB0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876FB0" w:rsidRDefault="00876FB0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BC217E" w:rsidP="00A60C5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BC217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25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Default="0017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71B25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228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171B25" w:rsidRDefault="002C5228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5228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05E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2C5228" w:rsidRDefault="00B3105E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105E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9D9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B3105E" w:rsidRDefault="00B809D9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9D9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9D9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B809D9" w:rsidRDefault="00B809D9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9D9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89B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Default="0043289B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289B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23B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43289B" w:rsidRDefault="00F4723B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D6E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0D6E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AD45B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16D" w:rsidRPr="00EC0131" w:rsidRDefault="004F716D" w:rsidP="004F716D">
      <w:pPr>
        <w:pStyle w:val="a8"/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B5" w:rsidRPr="00EC0131" w:rsidRDefault="004B7FB5" w:rsidP="004F716D">
      <w:pPr>
        <w:pStyle w:val="a8"/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5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Третьяковскому</w:t>
      </w:r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02" w:type="pct"/>
        <w:jc w:val="center"/>
        <w:tblLook w:val="04A0" w:firstRow="1" w:lastRow="0" w:firstColumn="1" w:lastColumn="0" w:noHBand="0" w:noVBand="1"/>
      </w:tblPr>
      <w:tblGrid>
        <w:gridCol w:w="6266"/>
        <w:gridCol w:w="2606"/>
        <w:gridCol w:w="1277"/>
      </w:tblGrid>
      <w:tr w:rsidR="006A7C6F" w:rsidRPr="00EC0131" w:rsidTr="002C601B">
        <w:trPr>
          <w:gridAfter w:val="1"/>
          <w:wAfter w:w="629" w:type="pct"/>
          <w:trHeight w:val="130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0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6A7C6F" w:rsidRPr="00EC0131" w:rsidRDefault="006A7C6F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90585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C6F" w:rsidRPr="00EC0131" w:rsidTr="002C601B">
        <w:trPr>
          <w:gridAfter w:val="1"/>
          <w:wAfter w:w="629" w:type="pct"/>
          <w:trHeight w:hRule="exact" w:val="58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905857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416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2716D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2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F17CD8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A0A4C" w:rsidRPr="00EC0131" w:rsidTr="002C601B">
        <w:trPr>
          <w:gridAfter w:val="1"/>
          <w:wAfter w:w="629" w:type="pct"/>
          <w:trHeight w:hRule="exact" w:val="57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905857" w:rsidP="00A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DA0A4C" w:rsidRPr="00EC0131" w:rsidTr="002C601B">
        <w:trPr>
          <w:trHeight w:hRule="exact" w:val="606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2716DF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vAlign w:val="center"/>
          </w:tcPr>
          <w:p w:rsidR="00DA0A4C" w:rsidRPr="00EC0131" w:rsidRDefault="00DA0A4C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Pr="00EC0131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905857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Прочие виды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4" w:type="dxa"/>
            <w:vAlign w:val="center"/>
          </w:tcPr>
          <w:p w:rsidR="00857703" w:rsidRPr="00EC0131" w:rsidRDefault="00857703" w:rsidP="0085770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876FB0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171B25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2C5228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B3105E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3744F8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B809D9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187F22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43289B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187F22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187F22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lastRenderedPageBreak/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Pr="00EC0131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71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Третьяковского</w:t>
      </w:r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905857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187F22" w:rsidP="007E716E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31077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r w:rsidR="0071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0F6992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786CE0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286283</w:t>
            </w:r>
            <w:bookmarkStart w:id="0" w:name="_GoBack"/>
            <w:bookmarkEnd w:id="0"/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A0392C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A0392C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 вопросам сопровождения инвесторов: (385-2) 20-65-01  В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гос. поддержке,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1692">
        <w:rPr>
          <w:rFonts w:ascii="Times New Roman" w:hAnsi="Times New Roman" w:cs="Times New Roman"/>
          <w:sz w:val="24"/>
          <w:szCs w:val="24"/>
        </w:rPr>
        <w:t>Третьяковского</w:t>
      </w:r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с.</w:t>
      </w:r>
      <w:r w:rsidR="00BF72C6">
        <w:rPr>
          <w:rFonts w:ascii="Times New Roman" w:hAnsi="Times New Roman" w:cs="Times New Roman"/>
          <w:sz w:val="24"/>
          <w:szCs w:val="24"/>
        </w:rPr>
        <w:t>Староалейское</w:t>
      </w:r>
      <w:r w:rsidR="00446D1F">
        <w:rPr>
          <w:rFonts w:ascii="Times New Roman" w:hAnsi="Times New Roman" w:cs="Times New Roman"/>
          <w:sz w:val="24"/>
          <w:szCs w:val="24"/>
        </w:rPr>
        <w:t>,</w:t>
      </w:r>
      <w:r w:rsidR="00BF72C6">
        <w:rPr>
          <w:rFonts w:ascii="Times New Roman" w:hAnsi="Times New Roman" w:cs="Times New Roman"/>
          <w:sz w:val="24"/>
          <w:szCs w:val="24"/>
        </w:rPr>
        <w:t xml:space="preserve"> </w:t>
      </w:r>
      <w:r w:rsidR="00446D1F">
        <w:rPr>
          <w:rFonts w:ascii="Times New Roman" w:hAnsi="Times New Roman" w:cs="Times New Roman"/>
          <w:sz w:val="24"/>
          <w:szCs w:val="24"/>
        </w:rPr>
        <w:t>ул.</w:t>
      </w:r>
      <w:r w:rsidR="00BF72C6">
        <w:rPr>
          <w:rFonts w:ascii="Times New Roman" w:hAnsi="Times New Roman" w:cs="Times New Roman"/>
          <w:sz w:val="24"/>
          <w:szCs w:val="24"/>
        </w:rPr>
        <w:t>Кирова</w:t>
      </w:r>
      <w:r w:rsidR="00446D1F">
        <w:rPr>
          <w:rFonts w:ascii="Times New Roman" w:hAnsi="Times New Roman" w:cs="Times New Roman"/>
          <w:sz w:val="24"/>
          <w:szCs w:val="24"/>
        </w:rPr>
        <w:t>,</w:t>
      </w:r>
      <w:r w:rsidR="00BF72C6">
        <w:rPr>
          <w:rFonts w:ascii="Times New Roman" w:hAnsi="Times New Roman" w:cs="Times New Roman"/>
          <w:sz w:val="24"/>
          <w:szCs w:val="24"/>
        </w:rPr>
        <w:t xml:space="preserve">59, </w:t>
      </w:r>
      <w:r w:rsidR="00446D1F">
        <w:rPr>
          <w:rFonts w:ascii="Times New Roman" w:hAnsi="Times New Roman" w:cs="Times New Roman"/>
          <w:sz w:val="24"/>
          <w:szCs w:val="24"/>
        </w:rPr>
        <w:t>каб.</w:t>
      </w:r>
      <w:r w:rsidR="00BF72C6">
        <w:rPr>
          <w:rFonts w:ascii="Times New Roman" w:hAnsi="Times New Roman" w:cs="Times New Roman"/>
          <w:sz w:val="24"/>
          <w:szCs w:val="24"/>
        </w:rPr>
        <w:t>29</w:t>
      </w:r>
      <w:r w:rsidR="00446D1F">
        <w:rPr>
          <w:rFonts w:ascii="Times New Roman" w:hAnsi="Times New Roman" w:cs="Times New Roman"/>
          <w:sz w:val="24"/>
          <w:szCs w:val="24"/>
        </w:rPr>
        <w:t xml:space="preserve">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</w:t>
      </w:r>
      <w:r w:rsidR="00BF72C6">
        <w:rPr>
          <w:rFonts w:ascii="Times New Roman" w:hAnsi="Times New Roman" w:cs="Times New Roman"/>
          <w:sz w:val="24"/>
          <w:szCs w:val="24"/>
        </w:rPr>
        <w:t>59</w:t>
      </w:r>
      <w:r w:rsidR="00446D1F">
        <w:rPr>
          <w:rFonts w:ascii="Times New Roman" w:hAnsi="Times New Roman" w:cs="Times New Roman"/>
          <w:sz w:val="24"/>
          <w:szCs w:val="24"/>
        </w:rPr>
        <w:t xml:space="preserve">) 21 0 </w:t>
      </w:r>
      <w:r w:rsidR="00BF72C6">
        <w:rPr>
          <w:rFonts w:ascii="Times New Roman" w:hAnsi="Times New Roman" w:cs="Times New Roman"/>
          <w:sz w:val="24"/>
          <w:szCs w:val="24"/>
        </w:rPr>
        <w:t>02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и управлению муниципальным имущесвом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BA2B56" w:rsidRPr="00D94BFC">
          <w:rPr>
            <w:rStyle w:val="a3"/>
          </w:rPr>
          <w:t>https://tretyakovskij-rajon.gosuslugi.ru/deyatelnost/napravleniya-deyatelnosti/biznes-predprinimatelstvo/imuschestvennaya-podderzhka-subektov-msp/</w:t>
        </w:r>
      </w:hyperlink>
    </w:p>
    <w:p w:rsidR="00BA2B56" w:rsidRPr="006A10C7" w:rsidRDefault="00BA2B56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BA2B56" w:rsidRDefault="00A14738" w:rsidP="00BA2B56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и управлению муниципальным имуществом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B56" w:rsidRP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с.Староалейское, ул.Кирова,59, каб.29 тел.8(385 59) 21 0 02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FC4" w:rsidRDefault="00A0392C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r w:rsidR="0071169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Третьяковского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AF4B55" w:rsidRPr="00D94BFC">
          <w:rPr>
            <w:rStyle w:val="a3"/>
          </w:rPr>
          <w:t>https://tretyakovskij-rajon.gosuslugi.ru/deyatelnost/napravleniya-deyatelnosti/biznes-predprinimatelstvo/imuschestvennaya-podderzhka-subektov-msp/imuschestvo-dlya-biznesa/</w:t>
        </w:r>
      </w:hyperlink>
    </w:p>
    <w:p w:rsidR="00AF4B55" w:rsidRPr="00EC0131" w:rsidRDefault="00AF4B55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11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Третьяковского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 по телефонам: (3852) 24-24-82, 8-800-222-83-22.</w:t>
      </w:r>
    </w:p>
    <w:p w:rsidR="006A10C7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091829" w:rsidRPr="00D94BFC">
          <w:rPr>
            <w:rStyle w:val="a3"/>
          </w:rPr>
          <w:t>https://tretyakovskij-rajon.gosuslugi.ru/deyatelnost/napravleniya-deyatelnosti/biznes-predprinimatelstvo/</w:t>
        </w:r>
      </w:hyperlink>
    </w:p>
    <w:p w:rsidR="00091829" w:rsidRPr="00EC0131" w:rsidRDefault="00091829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829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392C" w:rsidRDefault="00A0392C">
      <w:pPr>
        <w:spacing w:after="0" w:line="240" w:lineRule="auto"/>
      </w:pPr>
      <w:r>
        <w:separator/>
      </w:r>
    </w:p>
  </w:endnote>
  <w:endnote w:type="continuationSeparator" w:id="0">
    <w:p w:rsidR="00A0392C" w:rsidRDefault="00A0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392C" w:rsidRDefault="00A0392C">
      <w:pPr>
        <w:spacing w:after="0" w:line="240" w:lineRule="auto"/>
      </w:pPr>
      <w:r>
        <w:separator/>
      </w:r>
    </w:p>
  </w:footnote>
  <w:footnote w:type="continuationSeparator" w:id="0">
    <w:p w:rsidR="00A0392C" w:rsidRDefault="00A0392C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375547"/>
      <w:docPartObj>
        <w:docPartGallery w:val="Page Numbers (Top of Page)"/>
        <w:docPartUnique/>
      </w:docPartObj>
    </w:sdtPr>
    <w:sdtEndPr/>
    <w:sdtContent>
      <w:p w:rsidR="00A63113" w:rsidRDefault="00561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3113" w:rsidRDefault="00A631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56"/>
    <w:rsid w:val="00004105"/>
    <w:rsid w:val="00011B0E"/>
    <w:rsid w:val="0002035D"/>
    <w:rsid w:val="0003464D"/>
    <w:rsid w:val="00036C6D"/>
    <w:rsid w:val="00042547"/>
    <w:rsid w:val="00052203"/>
    <w:rsid w:val="00057342"/>
    <w:rsid w:val="00062059"/>
    <w:rsid w:val="00067859"/>
    <w:rsid w:val="00077022"/>
    <w:rsid w:val="00082B67"/>
    <w:rsid w:val="00086FCF"/>
    <w:rsid w:val="00091829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0F6992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1B25"/>
    <w:rsid w:val="00175565"/>
    <w:rsid w:val="00177828"/>
    <w:rsid w:val="00180D62"/>
    <w:rsid w:val="00184FC2"/>
    <w:rsid w:val="0018614B"/>
    <w:rsid w:val="00187F22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67ECC"/>
    <w:rsid w:val="00270ED9"/>
    <w:rsid w:val="002716DF"/>
    <w:rsid w:val="00276374"/>
    <w:rsid w:val="002769E2"/>
    <w:rsid w:val="00284393"/>
    <w:rsid w:val="002908ED"/>
    <w:rsid w:val="00293B8B"/>
    <w:rsid w:val="002A3F34"/>
    <w:rsid w:val="002C48B3"/>
    <w:rsid w:val="002C5228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6E8"/>
    <w:rsid w:val="00346F3E"/>
    <w:rsid w:val="00352EE2"/>
    <w:rsid w:val="00357F17"/>
    <w:rsid w:val="003740E8"/>
    <w:rsid w:val="003744F8"/>
    <w:rsid w:val="00375002"/>
    <w:rsid w:val="00376ED0"/>
    <w:rsid w:val="00384009"/>
    <w:rsid w:val="0039169F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289B"/>
    <w:rsid w:val="00433855"/>
    <w:rsid w:val="004416F5"/>
    <w:rsid w:val="00446D1F"/>
    <w:rsid w:val="004517FF"/>
    <w:rsid w:val="00452FFB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D2C83"/>
    <w:rsid w:val="004E6B52"/>
    <w:rsid w:val="004F0F98"/>
    <w:rsid w:val="004F1233"/>
    <w:rsid w:val="004F716D"/>
    <w:rsid w:val="00505542"/>
    <w:rsid w:val="00510F32"/>
    <w:rsid w:val="005144B0"/>
    <w:rsid w:val="00524772"/>
    <w:rsid w:val="00524837"/>
    <w:rsid w:val="0053348D"/>
    <w:rsid w:val="00534357"/>
    <w:rsid w:val="005344DE"/>
    <w:rsid w:val="00560258"/>
    <w:rsid w:val="00561A74"/>
    <w:rsid w:val="00561B3F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B41BF"/>
    <w:rsid w:val="006C04BE"/>
    <w:rsid w:val="006D2E63"/>
    <w:rsid w:val="006E3198"/>
    <w:rsid w:val="006E76EB"/>
    <w:rsid w:val="006F0F05"/>
    <w:rsid w:val="0070063C"/>
    <w:rsid w:val="00702E4D"/>
    <w:rsid w:val="007040DF"/>
    <w:rsid w:val="00711692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856DB"/>
    <w:rsid w:val="00786CE0"/>
    <w:rsid w:val="00795845"/>
    <w:rsid w:val="00796F4E"/>
    <w:rsid w:val="007C1396"/>
    <w:rsid w:val="007D0237"/>
    <w:rsid w:val="007D062C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57703"/>
    <w:rsid w:val="008625EF"/>
    <w:rsid w:val="00864AB8"/>
    <w:rsid w:val="00865256"/>
    <w:rsid w:val="00865984"/>
    <w:rsid w:val="00865E2B"/>
    <w:rsid w:val="008708F6"/>
    <w:rsid w:val="008721F9"/>
    <w:rsid w:val="00874F84"/>
    <w:rsid w:val="00876FB0"/>
    <w:rsid w:val="00877AFD"/>
    <w:rsid w:val="008833EB"/>
    <w:rsid w:val="0088561E"/>
    <w:rsid w:val="008A3BE1"/>
    <w:rsid w:val="008A5133"/>
    <w:rsid w:val="008A6123"/>
    <w:rsid w:val="008B0D6E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05857"/>
    <w:rsid w:val="00907762"/>
    <w:rsid w:val="00914CA6"/>
    <w:rsid w:val="00917BC7"/>
    <w:rsid w:val="0092062D"/>
    <w:rsid w:val="009209B1"/>
    <w:rsid w:val="00925B3D"/>
    <w:rsid w:val="00925D66"/>
    <w:rsid w:val="00950150"/>
    <w:rsid w:val="00951B25"/>
    <w:rsid w:val="009626D5"/>
    <w:rsid w:val="009646F8"/>
    <w:rsid w:val="00972535"/>
    <w:rsid w:val="00973622"/>
    <w:rsid w:val="009778C6"/>
    <w:rsid w:val="00977B90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041C"/>
    <w:rsid w:val="009E4E27"/>
    <w:rsid w:val="009F1432"/>
    <w:rsid w:val="009F1B60"/>
    <w:rsid w:val="009F26CC"/>
    <w:rsid w:val="009F6642"/>
    <w:rsid w:val="00A0392C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D45B9"/>
    <w:rsid w:val="00AE2B74"/>
    <w:rsid w:val="00AF457D"/>
    <w:rsid w:val="00AF4B55"/>
    <w:rsid w:val="00AF684A"/>
    <w:rsid w:val="00B12594"/>
    <w:rsid w:val="00B12679"/>
    <w:rsid w:val="00B178EF"/>
    <w:rsid w:val="00B17DA9"/>
    <w:rsid w:val="00B207EC"/>
    <w:rsid w:val="00B26768"/>
    <w:rsid w:val="00B27FC2"/>
    <w:rsid w:val="00B3105E"/>
    <w:rsid w:val="00B40F1A"/>
    <w:rsid w:val="00B42184"/>
    <w:rsid w:val="00B4745C"/>
    <w:rsid w:val="00B514C9"/>
    <w:rsid w:val="00B66ADB"/>
    <w:rsid w:val="00B67394"/>
    <w:rsid w:val="00B809D9"/>
    <w:rsid w:val="00B8331E"/>
    <w:rsid w:val="00BA2B56"/>
    <w:rsid w:val="00BA4C5E"/>
    <w:rsid w:val="00BA7A3A"/>
    <w:rsid w:val="00BB03A2"/>
    <w:rsid w:val="00BB642A"/>
    <w:rsid w:val="00BC05C5"/>
    <w:rsid w:val="00BC091C"/>
    <w:rsid w:val="00BC12BA"/>
    <w:rsid w:val="00BC217E"/>
    <w:rsid w:val="00BC7333"/>
    <w:rsid w:val="00BD3EFD"/>
    <w:rsid w:val="00BE063B"/>
    <w:rsid w:val="00BF1EBC"/>
    <w:rsid w:val="00BF67B9"/>
    <w:rsid w:val="00BF72C6"/>
    <w:rsid w:val="00BF7E6A"/>
    <w:rsid w:val="00C12D5E"/>
    <w:rsid w:val="00C15BE8"/>
    <w:rsid w:val="00C274C3"/>
    <w:rsid w:val="00C40C20"/>
    <w:rsid w:val="00C641DC"/>
    <w:rsid w:val="00C72DB7"/>
    <w:rsid w:val="00C872C8"/>
    <w:rsid w:val="00C921EC"/>
    <w:rsid w:val="00CA3F2E"/>
    <w:rsid w:val="00CB1E4C"/>
    <w:rsid w:val="00CB2AC7"/>
    <w:rsid w:val="00CB68D6"/>
    <w:rsid w:val="00CC45F9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80B3C"/>
    <w:rsid w:val="00D9192F"/>
    <w:rsid w:val="00D91FDC"/>
    <w:rsid w:val="00D94D52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44311"/>
    <w:rsid w:val="00E50709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62A0"/>
    <w:rsid w:val="00F116E3"/>
    <w:rsid w:val="00F14E21"/>
    <w:rsid w:val="00F172E4"/>
    <w:rsid w:val="00F17CD8"/>
    <w:rsid w:val="00F23EE7"/>
    <w:rsid w:val="00F429FF"/>
    <w:rsid w:val="00F4723B"/>
    <w:rsid w:val="00F47ACF"/>
    <w:rsid w:val="00F53556"/>
    <w:rsid w:val="00F55E4F"/>
    <w:rsid w:val="00F56CF4"/>
    <w:rsid w:val="00F60426"/>
    <w:rsid w:val="00F614F8"/>
    <w:rsid w:val="00F67EB0"/>
    <w:rsid w:val="00F70900"/>
    <w:rsid w:val="00F72BC1"/>
    <w:rsid w:val="00F80ED9"/>
    <w:rsid w:val="00F949A6"/>
    <w:rsid w:val="00F94ADD"/>
    <w:rsid w:val="00FB0851"/>
    <w:rsid w:val="00FB3F3C"/>
    <w:rsid w:val="00FB6205"/>
    <w:rsid w:val="00FC4157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59E7"/>
  <w15:docId w15:val="{41295521-FF09-46DA-B679-36D9A00B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tretyakovskij-rajon.gosuslugi.ru/deyatelnost/napravleniya-deyatelnosti/biznes-predprinimatelstvo/imuschestvennaya-podderzhka-subektov-msp/imuschestvo-dlya-biznes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tretyakovskij-rajon.gosuslugi.ru/deyatelnost/napravleniya-deyatelnosti/biznes-predprinimatelst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tretyakovskij-rajon.gosuslugi.ru/deyatelnost/napravleniya-deyatelnosti/biznes-predprinimatelstvo/imuschestvennaya-podderzhka-subektov-msp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Relationship Id="rId8" Type="http://schemas.openxmlformats.org/officeDocument/2006/relationships/hyperlink" Target="https://tretyakovskij-rajon.gosuslugi.ru/deyatelnost/napravleniya-deyatelnosti/ekonomika-i-finansy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18CB-F587-47BA-A195-ADF16743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USER</cp:lastModifiedBy>
  <cp:revision>14</cp:revision>
  <cp:lastPrinted>2023-01-16T04:55:00Z</cp:lastPrinted>
  <dcterms:created xsi:type="dcterms:W3CDTF">2024-02-20T09:51:00Z</dcterms:created>
  <dcterms:modified xsi:type="dcterms:W3CDTF">2025-01-15T03:17:00Z</dcterms:modified>
</cp:coreProperties>
</file>