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22A95" w14:textId="77777777" w:rsidR="0074511A" w:rsidRDefault="0074511A">
      <w:pPr>
        <w:spacing w:line="276" w:lineRule="auto"/>
        <w:divId w:val="1537622445"/>
      </w:pPr>
    </w:p>
    <w:tbl>
      <w:tblPr>
        <w:tblW w:w="5000" w:type="pct"/>
        <w:tblCellSpacing w:w="0" w:type="dxa"/>
        <w:tblCellMar>
          <w:left w:w="0" w:type="dxa"/>
          <w:right w:w="0" w:type="dxa"/>
        </w:tblCellMar>
        <w:tblLook w:val="04A0" w:firstRow="1" w:lastRow="0" w:firstColumn="1" w:lastColumn="0" w:noHBand="0" w:noVBand="1"/>
      </w:tblPr>
      <w:tblGrid>
        <w:gridCol w:w="9355"/>
      </w:tblGrid>
      <w:tr w:rsidR="0074511A" w14:paraId="4E4B34E6" w14:textId="77777777">
        <w:trPr>
          <w:divId w:val="1537622445"/>
          <w:tblCellSpacing w:w="0" w:type="dxa"/>
        </w:trPr>
        <w:tc>
          <w:tcPr>
            <w:tcW w:w="0" w:type="auto"/>
            <w:vAlign w:val="center"/>
            <w:hideMark/>
          </w:tcPr>
          <w:p w14:paraId="2D987EF4" w14:textId="77777777" w:rsidR="0074511A" w:rsidRDefault="0074511A">
            <w:pPr>
              <w:spacing w:line="276" w:lineRule="auto"/>
              <w:jc w:val="center"/>
              <w:rPr>
                <w:b/>
                <w:bCs/>
                <w:sz w:val="28"/>
                <w:szCs w:val="28"/>
              </w:rPr>
            </w:pPr>
            <w:r>
              <w:rPr>
                <w:b/>
                <w:bCs/>
                <w:sz w:val="28"/>
                <w:szCs w:val="28"/>
              </w:rPr>
              <w:t>Информация о социально-экономическом развитии</w:t>
            </w:r>
          </w:p>
        </w:tc>
      </w:tr>
      <w:tr w:rsidR="0074511A" w14:paraId="4EA7D3FF" w14:textId="77777777">
        <w:trPr>
          <w:divId w:val="1537622445"/>
          <w:tblCellSpacing w:w="0" w:type="dxa"/>
        </w:trPr>
        <w:tc>
          <w:tcPr>
            <w:tcW w:w="0" w:type="auto"/>
            <w:tcBorders>
              <w:bottom w:val="single" w:sz="8" w:space="0" w:color="000000"/>
            </w:tcBorders>
            <w:vAlign w:val="center"/>
            <w:hideMark/>
          </w:tcPr>
          <w:p w14:paraId="363948BA" w14:textId="11B963CD" w:rsidR="0074511A" w:rsidRDefault="001F1010">
            <w:pPr>
              <w:spacing w:line="276" w:lineRule="auto"/>
              <w:jc w:val="center"/>
              <w:rPr>
                <w:sz w:val="28"/>
                <w:szCs w:val="28"/>
              </w:rPr>
            </w:pPr>
            <w:r>
              <w:rPr>
                <w:b/>
                <w:bCs/>
                <w:sz w:val="28"/>
                <w:szCs w:val="28"/>
              </w:rPr>
              <w:t>Третьяковского района </w:t>
            </w:r>
            <w:r w:rsidR="000D3D3D">
              <w:rPr>
                <w:b/>
                <w:bCs/>
                <w:sz w:val="28"/>
                <w:szCs w:val="28"/>
                <w:lang w:val="en-US"/>
              </w:rPr>
              <w:t xml:space="preserve"> </w:t>
            </w:r>
            <w:r w:rsidR="0074511A">
              <w:rPr>
                <w:b/>
                <w:bCs/>
                <w:sz w:val="28"/>
                <w:szCs w:val="28"/>
              </w:rPr>
              <w:t>в</w:t>
            </w:r>
            <w:proofErr w:type="gramEnd"/>
            <w:r w:rsidR="0074511A">
              <w:rPr>
                <w:b/>
                <w:bCs/>
                <w:sz w:val="28"/>
                <w:szCs w:val="28"/>
              </w:rPr>
              <w:t xml:space="preserve"> </w:t>
            </w:r>
            <w:r>
              <w:rPr>
                <w:b/>
                <w:bCs/>
                <w:sz w:val="28"/>
                <w:szCs w:val="28"/>
                <w:lang w:val="en-US"/>
              </w:rPr>
              <w:t>2023</w:t>
            </w:r>
            <w:r w:rsidR="0074511A">
              <w:rPr>
                <w:b/>
                <w:bCs/>
                <w:sz w:val="28"/>
                <w:szCs w:val="28"/>
              </w:rPr>
              <w:t xml:space="preserve"> году.</w:t>
            </w:r>
          </w:p>
        </w:tc>
      </w:tr>
      <w:tr w:rsidR="0074511A" w14:paraId="282A02E3" w14:textId="77777777">
        <w:trPr>
          <w:divId w:val="1537622445"/>
          <w:tblCellSpacing w:w="0" w:type="dxa"/>
        </w:trPr>
        <w:tc>
          <w:tcPr>
            <w:tcW w:w="0" w:type="auto"/>
            <w:vAlign w:val="center"/>
            <w:hideMark/>
          </w:tcPr>
          <w:p w14:paraId="177CC1F8" w14:textId="77777777" w:rsidR="0074511A" w:rsidRDefault="0074511A">
            <w:pPr>
              <w:pStyle w:val="a3"/>
              <w:spacing w:line="276" w:lineRule="auto"/>
              <w:jc w:val="center"/>
              <w:rPr>
                <w:sz w:val="22"/>
                <w:szCs w:val="22"/>
              </w:rPr>
            </w:pPr>
            <w:r w:rsidRPr="00D47142">
              <w:rPr>
                <w:sz w:val="22"/>
                <w:szCs w:val="22"/>
              </w:rPr>
              <w:t>(официальное наименование городского округа (муниципального района)</w:t>
            </w:r>
          </w:p>
        </w:tc>
      </w:tr>
    </w:tbl>
    <w:p w14:paraId="6EBD965A" w14:textId="77777777" w:rsidR="0074511A" w:rsidRDefault="0074511A">
      <w:pPr>
        <w:spacing w:after="240" w:line="276" w:lineRule="auto"/>
        <w:divId w:val="1537622445"/>
      </w:pPr>
      <w:r>
        <w:br/>
      </w:r>
      <w:r>
        <w:br/>
      </w:r>
    </w:p>
    <w:p w14:paraId="7A3DFD5E" w14:textId="77777777" w:rsidR="0074511A" w:rsidRDefault="0074511A" w:rsidP="008E0719">
      <w:pPr>
        <w:spacing w:before="240" w:after="240" w:line="276" w:lineRule="auto"/>
        <w:jc w:val="center"/>
        <w:divId w:val="223301121"/>
      </w:pPr>
      <w:r>
        <w:rPr>
          <w:rStyle w:val="a4"/>
          <w:sz w:val="28"/>
          <w:szCs w:val="28"/>
        </w:rPr>
        <w:t xml:space="preserve">Промышленное производство </w:t>
      </w:r>
    </w:p>
    <w:p w14:paraId="7967FFEC" w14:textId="0AE79FEA" w:rsidR="0074511A" w:rsidRPr="001F1010" w:rsidRDefault="001F1010" w:rsidP="001F1010">
      <w:pPr>
        <w:spacing w:line="276" w:lineRule="auto"/>
        <w:jc w:val="both"/>
        <w:divId w:val="223301121"/>
      </w:pPr>
      <w:r w:rsidRPr="001F1010">
        <w:t>На территории Третьяковского района действуют два средних промышленных предприятия занимающихся обрабатывающим производством: ООО «Третьяковский элеватор» - зернопереработка и ООО «Третьяковский маслосырзавод» - переработка молока. За 2023 год объем отгруженных товаров собственного производства по району составил 2317 млн. рублей, произошло снижение объема производства на 17,1%. Индекс промышленного производства составил 84,4% к уровню прошлого года. Причина снижения индекса промышленного производства связана с снижением объемов производства почти по всем видам выпускаемой  продукции. Объем промышленного производства на душу населения по итогам 2023 года составляет 228 тыс. рублей.</w:t>
      </w:r>
    </w:p>
    <w:p w14:paraId="25D208A8" w14:textId="77777777" w:rsidR="0074511A" w:rsidRDefault="0074511A" w:rsidP="008E0719">
      <w:pPr>
        <w:spacing w:before="240" w:after="240" w:line="276" w:lineRule="auto"/>
        <w:jc w:val="center"/>
        <w:divId w:val="1450320109"/>
      </w:pPr>
      <w:r>
        <w:rPr>
          <w:rStyle w:val="a4"/>
          <w:sz w:val="28"/>
          <w:szCs w:val="28"/>
        </w:rPr>
        <w:t xml:space="preserve">Сельскохозяйственное производство </w:t>
      </w:r>
    </w:p>
    <w:p w14:paraId="53D2D3CA" w14:textId="00E9C93E" w:rsidR="0074511A" w:rsidRPr="008E0719" w:rsidRDefault="00954C8F" w:rsidP="001F1010">
      <w:pPr>
        <w:spacing w:line="276" w:lineRule="auto"/>
        <w:jc w:val="both"/>
        <w:divId w:val="1450320109"/>
      </w:pPr>
      <w:r w:rsidRPr="008E0719">
        <w:t>Производством сельскохозяйственной продукции на территории района занимаются 4 коллективных сельскохозяйственных предприятий, 3- ООО, 12- КФХ.  По состоянию  01.01.2024 года в сельхозпредприятиях района  средняя численность работающих составляет 869 человек. Среднемесячная зарплата на 1 работника в сельскохозяйственном производстве   составила 33922 рубля., рост заработной платы на 109% к  уровню прошлого года.Общая посевная площадь составила   73 тыс. га, из них зерновыми и зернобобовыми культурами занято   43 тыс. га, техническими культурами - 21 тыс.  га, из них подсолнечником засеяно 11,8 тыс. га,  и кормовыми - занято 9 тыс. га.За 2023 год собрано 37,7 тыс. тонн зерна, при урожайности 8,9 ц/га  (2022г-   15,5ц/га) .  Валовый сбор   подсолнечника  по району составил 13,9 тыс. тонн, урожайность которых 11,7 ц/га (2022г-15ц/га).  Во всех категориях хозяйств на 1 января текущего года в районе имеется 13360  голов крупного рогатого скота, (2022г-14891гол) снижение на 1531 голову, в том числе  4879   голов коров (2022год-6140гол) , снижение на 1261 голову.Тенденция снижения поголовья животных связана  со значительным удорожанием кормов, снижением  закупочных цен на продукцию животноводства. Хозяйствами всех форм собственности  произведено 24,6 тыс. тонн молока (на 1 % меньше уровня прошлого года),  скота и птицы на убой 2,8 тыс. тонн   (на 9 % меньше уровня 2022 года).  Надой на одну фуражную корову за год составил 4294 кг, что на 5% кг меньше прошлогоднего.По итогам 2023 года сельхозтоваропроизводителями  района реализовано продукции, работ и услуг на 1млд 145 млн .руб., по сравнению с аналогичным периодом 2022г меньше на 19%, себестоимость проданной продукции за 2023 год составила 1млрд 086 млн. руб. рост  по отношению к прошлому году 102%. Вопреки всем сложностям, сельскохозяйственной отрасли удалось закончить год с положительным балансом. Была получена чистая прибыль в сумме 63,0 млн.руб, что в 5,4 раза меньше, чем в прошлом году, в  2022году составила прибыль 342,2 млн руб. За отчетный год  сельхозпредприятиями района было перечислено  в бюджеты всех уровней налогов, сборов, обязательных платежей  и страховых взносов 188,4 млн.руб.</w:t>
      </w:r>
    </w:p>
    <w:p w14:paraId="5A13D8F4" w14:textId="77777777" w:rsidR="0074511A" w:rsidRDefault="0074511A" w:rsidP="008E0719">
      <w:pPr>
        <w:spacing w:before="240" w:after="240" w:line="276" w:lineRule="auto"/>
        <w:jc w:val="center"/>
        <w:divId w:val="1006633197"/>
      </w:pPr>
      <w:r>
        <w:rPr>
          <w:rStyle w:val="a4"/>
          <w:sz w:val="28"/>
          <w:szCs w:val="28"/>
        </w:rPr>
        <w:t xml:space="preserve">Реализация инвестиционных проектов на территории муниципального района </w:t>
      </w:r>
    </w:p>
    <w:p w14:paraId="5AFDAD4B" w14:textId="4DAB013A" w:rsidR="0074511A" w:rsidRPr="008E0719" w:rsidRDefault="00954C8F" w:rsidP="001F1010">
      <w:pPr>
        <w:spacing w:line="276" w:lineRule="auto"/>
        <w:jc w:val="both"/>
        <w:divId w:val="1006633197"/>
      </w:pPr>
      <w:r w:rsidRPr="00954C8F">
        <w:t>Согласно реализации Государственной программы Российской Федерации «Комплексное развитие сельских территорий» на территории Третьяковского района в 2023 году выделена субсидия на строительство индивидуального жилого дома 1 семье. Сумма субсидий составила – 2 808 918 рублей. В 2022 году переведен 1 транш в сумме – 1 384 239 рублей, остаток суммы переведен в 2023 году 2 траншем в сумме – 1 424 679 рублей.В дорожном хозяйстве, благодаря средствам федерального, краевого и местного бюджетов, произведен текущий и капитальный ремонт дорог местного значения на сумму 5 306 523 рублей: данные средства направлены на капитальный ремонт улично-дорожной сети по ул. Молодежная, с. Екатерининское и ремонт площади возле ДК в п. Садовом. В рамках реализации подпрограммы 2 государственной программы Алтайского края «Обеспечение населения Алтайского края жилищно-коммунальными услугами», Администрацией района была приобретена и установлена модульная котельная по адресу: Третьяковский район, ст. Третьяково, ул. Центральная, д. 25 на сумму 5 962 352 рублей. В 2023 году закончен капитальный ремонт двух зданий  МКОУ «Староалейская СОШ №1»   освоено в 2023 году 49791,1 тыс. рублей (краевые и федеральные средства),  общий контракт на сумму 83130,0 тыс.руб.(кап. ремонт и приобретение оборудования).В 2023 году закончен 2 этап проекта «Благоустройство мемориального комплекса по ул.Калашникова 38»,  контракт заключен Староалейским сельсоветом в декабре 2022г. на сумму 3065,3 тыс. руб. Работы закончены. (посев газона, установка ограждения). по программе местные инициативы Екатерининский  сельсовет стали участниками с проектом «Обустройство детской спортивной площадки » стоимость проекта 1200 тыс.руб.За отчетный период сельхозпредприятиями приобретено техники и сельхозоборудования более чем на 156 млн. руб.</w:t>
      </w:r>
    </w:p>
    <w:p w14:paraId="50EDF568" w14:textId="77777777" w:rsidR="0074511A" w:rsidRDefault="0074511A" w:rsidP="008E0719">
      <w:pPr>
        <w:spacing w:before="240" w:after="240" w:line="276" w:lineRule="auto"/>
        <w:jc w:val="center"/>
        <w:divId w:val="672149918"/>
      </w:pPr>
      <w:r>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14:paraId="2ED7AA63" w14:textId="40FFA276" w:rsidR="0074511A" w:rsidRPr="001F1010" w:rsidRDefault="001F1010" w:rsidP="001F1010">
      <w:pPr>
        <w:spacing w:line="276" w:lineRule="auto"/>
        <w:jc w:val="both"/>
        <w:divId w:val="672149918"/>
      </w:pPr>
      <w:r w:rsidRPr="001F1010">
        <w:t>На 01.01.2024 года в реестре субъектов малого и среднего бизнеса числится 204 субъекта.   В течении отчетного года проведена работа по предоставлению ин­формации и консультаций субъектам малого и среднего бизнеса по использованию инстру­ментов государственной поддержки, предусмотренной на федеральном, краевом уровнях; предоставлены методические рекомендации и оказана практическая по­мощь по вопросам организации и ведения бизнеса, выбор системы налогообложения, стоимости патента, заполнение  заявлений и других документов. Очень большая работа проведена по разъяснениям работы субъектов малого и среднего бизнеса по реализации товаров, подлежащих обязательной  маркировке (бутилированная вода, одежда, духи, молочная продукция и т.д.).  Вся информация об информационной, имущественной поддержке заносится в программу  АИС «Мониторинг СМП». В декабре проведено обновление аналитических данных  в сфере потребительского рынка.При главе района функционирует общественный Совет предпринимателей. В течении года проводились заседания общественного Совета предпринимателей, где рассматривались вопросы награждения лучших предпринимателей района, помощи мобилизованным и их семьям, организация праздничных мероприятий ко Дню российского предпринимательства, подведение итогов работы Совета, организация волейбольного турнира на приз предпринимателей, совещания-семинары по изменениям в налоговом законодательстве, организационные вопросы в оказании помощи мобилизованным и благотворительных акциях и т.д.</w:t>
      </w:r>
    </w:p>
    <w:p w14:paraId="22B05A6E" w14:textId="77777777" w:rsidR="0074511A" w:rsidRDefault="0074511A" w:rsidP="008E0719">
      <w:pPr>
        <w:spacing w:before="240" w:after="240" w:line="276" w:lineRule="auto"/>
        <w:jc w:val="center"/>
        <w:divId w:val="1356543834"/>
      </w:pPr>
      <w:r>
        <w:rPr>
          <w:rStyle w:val="a4"/>
          <w:sz w:val="28"/>
          <w:szCs w:val="28"/>
        </w:rPr>
        <w:t xml:space="preserve">Ситуация на рынке труда </w:t>
      </w:r>
    </w:p>
    <w:p w14:paraId="5F43EFBA" w14:textId="333D0258" w:rsidR="0074511A" w:rsidRPr="008E0719" w:rsidRDefault="00954C8F" w:rsidP="001F1010">
      <w:pPr>
        <w:spacing w:line="276" w:lineRule="auto"/>
        <w:jc w:val="both"/>
        <w:divId w:val="1356543834"/>
      </w:pPr>
      <w:r w:rsidRPr="008E0719">
        <w:t>Общая численность зарегистрированных безработных в районе на 01.01.2024года – 84 чел. (на 01.01.2023 – 57 человека), уровень безработицы за 2023 год составил – 1,4 % . В целом напряженность на официальном рынке труда на начало января 2024 года составила 3 человека на 1 место</w:t>
      </w:r>
    </w:p>
    <w:p w14:paraId="4C50A55C" w14:textId="77777777" w:rsidR="0074511A" w:rsidRDefault="0074511A" w:rsidP="008E0719">
      <w:pPr>
        <w:spacing w:before="240" w:after="240" w:line="276" w:lineRule="auto"/>
        <w:jc w:val="center"/>
        <w:divId w:val="1611469857"/>
      </w:pPr>
      <w:r>
        <w:rPr>
          <w:rStyle w:val="a4"/>
          <w:sz w:val="28"/>
          <w:szCs w:val="28"/>
        </w:rPr>
        <w:t xml:space="preserve">Уровень жизни населения </w:t>
      </w:r>
    </w:p>
    <w:p w14:paraId="79AB0DE7" w14:textId="608B8C54" w:rsidR="0074511A" w:rsidRPr="001F1010" w:rsidRDefault="001F1010" w:rsidP="001F1010">
      <w:pPr>
        <w:spacing w:line="276" w:lineRule="auto"/>
        <w:jc w:val="both"/>
        <w:divId w:val="1611469857"/>
      </w:pPr>
      <w:r w:rsidRPr="001F1010">
        <w:t>Одним из важнейших показателей уровня жизни населения остается заработная плата и своевременность ее получения. По району среднемесячная заработная плата по крупным и средним организациям составляет 36811 руб., что на 16 % выше 2022 года.</w:t>
      </w:r>
    </w:p>
    <w:p w14:paraId="3241552C" w14:textId="77777777" w:rsidR="0074511A" w:rsidRDefault="0074511A" w:rsidP="008E0719">
      <w:pPr>
        <w:spacing w:before="240" w:after="240" w:line="276" w:lineRule="auto"/>
        <w:jc w:val="center"/>
        <w:divId w:val="1437944105"/>
      </w:pPr>
      <w:r>
        <w:rPr>
          <w:rStyle w:val="a4"/>
          <w:sz w:val="28"/>
          <w:szCs w:val="28"/>
        </w:rPr>
        <w:t xml:space="preserve">Состояние местных бюджетов </w:t>
      </w:r>
    </w:p>
    <w:p w14:paraId="7070F5ED" w14:textId="24257C2B" w:rsidR="0074511A" w:rsidRPr="008E0719" w:rsidRDefault="00954C8F" w:rsidP="001F1010">
      <w:pPr>
        <w:spacing w:line="276" w:lineRule="auto"/>
        <w:jc w:val="both"/>
        <w:divId w:val="1437944105"/>
      </w:pPr>
      <w:r w:rsidRPr="008E0719">
        <w:t>Бюджетная политика в 2023 году была направлена на увеличение налоговых и неналоговых доходов, обеспечение сбалансированности бюджетов, повышение результативности бюджетных расходов, сокращение просроченной кредиторской задолженности.  Консолидированный бюджет по доходам исполнен в сумме 519 млн. рублей, 100%  исполнение к уточненному плану.   Собственные  доходы  составили  141 млн.рублей – 109%  выполнение первоначального плана 2023 года,  101  % рост к факту 2022 года. 58 %  налоговых доходов составляет  налог на доходы физических лиц, по увеличению поступления данного налога  ведется постоянная работа в части легализации заработной платы работающего населения, выводу из «тени» доходов малого бизнеса.  Объем безвозмездных поступлений из краевого бюджета  составил 378 млн. рублей и увеличен к первоначально запланированному бюджету на 86  млн. рублей. По итогам 2023 года  расходная часть консолидированного бюджета исполнена в сумме 519 млн. рублей или 93 % к уточненному плану и 100 % к бюджету 2022 года.  Расходы бюджета имеют социальную направленность и составляют: -расходы на образование составляют –   319 млн.руб. (62 %  в общем объеме расходов); -культуру –  38 млн.руб. (7%); -социальную политику –   21 млн.руб. (4 %) -спорт -  8 млн. руб. (2%).  В  2023 году на финансирование 23 муниципальных программ направлено средств местного бюджета 62 млн.рублей.  На 01.01.2024 года кредиторская задолженность по исполнительным листам составила 66 млн.  рублей. В течение года было принято денежных обязательств в сумме 20 млн. рублей, решений об уменьшении денежных обязательств в 2023году не было.       На конец отчетного периода по состоянию на 01.01.2024 общая сумма кредиторской задолженности составила 127 млн. рублей, в том числе текущая- 10 млн. рублей, просрочка – 105 млн. рублей, долгосрочная – 12 млн. рублей. </w:t>
      </w:r>
    </w:p>
    <w:p w14:paraId="38976BD3" w14:textId="77777777" w:rsidR="0074511A" w:rsidRDefault="0074511A" w:rsidP="008E0719">
      <w:pPr>
        <w:spacing w:before="240" w:after="240" w:line="276" w:lineRule="auto"/>
        <w:jc w:val="center"/>
        <w:divId w:val="1904366202"/>
      </w:pPr>
      <w:r>
        <w:rPr>
          <w:rStyle w:val="a4"/>
          <w:sz w:val="28"/>
          <w:szCs w:val="28"/>
        </w:rPr>
        <w:t xml:space="preserve">Жилищно-коммунальное хозяйство </w:t>
      </w:r>
    </w:p>
    <w:p w14:paraId="22274C61" w14:textId="7E4CE4F0" w:rsidR="0074511A" w:rsidRPr="001F1010" w:rsidRDefault="001F1010" w:rsidP="001F1010">
      <w:pPr>
        <w:spacing w:line="276" w:lineRule="auto"/>
        <w:jc w:val="both"/>
        <w:divId w:val="1904366202"/>
        <w:rPr>
          <w:lang w:val="en-US"/>
        </w:rPr>
      </w:pPr>
      <w:r>
        <w:rPr>
          <w:lang w:val="en-US"/>
        </w:rPr>
        <w:t>По-прежнему остается напряженной ситуация в жилищно-коммунальном хозяйстве. В районе 16 твердотопливных котельных и топочных. 23 км. теплосетей в двухтрубном исполнении. 40 скважин водоснабжения. 40 км. водопроводных сетей. 1 перекачивающая канализационная станция. 3 км. канализационных сетей. 160 комплексных трансформаторных подстанций (КТП). 577 км. высоковольтных электролиний. В 2023 году постановлением Администрации Третьяковского района № 343 от 25.09.2023 г. начат отопительный сезон 2023-2024 гг. Пробный запуск котельных произведен 25.09.2023 г. Все котельные на территории Третьяковского района введены в эксплуатацию своевременно. 25.09.2023г. наш район получил паспорт готовности к отопительному сезону. Для бесперебойного его прохождения заключены контракты на поставку угля, а также заключены контракты на поставку материалов для ремонта и замены котельного оборудования.В рамках реализации подпрограммы 2 государственной программы Алтайского края «Обеспечение населения Алтайского края жилищно-коммунальными услугами», Администрацией района была приобретена и установлена модульная котельная по адресу: Третьяковский район, ст. Третьяково, ул. Центральная, д. 25 на сумму 5 962 352 рублей, так же приобретено котельное оборудование и материалы ( 5 отопительных котлов, 2 дымовые трубы, 7 насосов, 1 вентилятор, 4 затвора дисковых, 1200 пог. м. труб и т.д. ) на сумму 8 863 220, 00 рублей. Были проведены следующие работы: замена дымовой трубы на котельной №5 с. Староалейское, замена участков трассы тепловых сетей: ул. Водстроя, ул. Советская, ул. Шоссейная, ул. Шумакова с.Староалейское, замена котлов с. Екатерининское 1 и 2 котельная, п. Садовый также замена котла и дымовой трубы.Согласно постановлению Администрации Третьяковского района Алтайского края № 534 от 28.12.2022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Третьяковского района Алтайского края», выплачена населению компенсация в размере: за уголь  - 122 226,84 руб. (229 человек), за дрова-66 148,60 руб. (192 человека), за центральное отопление – 2 462 135,93 руб. (263 человека).</w:t>
      </w:r>
    </w:p>
    <w:p w14:paraId="58A9E30E" w14:textId="77777777" w:rsidR="0074511A" w:rsidRDefault="0074511A" w:rsidP="008E0719">
      <w:pPr>
        <w:spacing w:before="240" w:after="240" w:line="276" w:lineRule="auto"/>
        <w:jc w:val="center"/>
        <w:divId w:val="1972859180"/>
      </w:pPr>
      <w:r>
        <w:rPr>
          <w:rStyle w:val="a4"/>
          <w:sz w:val="28"/>
          <w:szCs w:val="28"/>
        </w:rPr>
        <w:t xml:space="preserve">Социальная сфера </w:t>
      </w:r>
    </w:p>
    <w:p w14:paraId="0DACE479" w14:textId="592C1628" w:rsidR="0074511A" w:rsidRPr="001F1010" w:rsidRDefault="001F1010" w:rsidP="001F1010">
      <w:pPr>
        <w:spacing w:line="276" w:lineRule="auto"/>
        <w:jc w:val="both"/>
        <w:divId w:val="1972859180"/>
        <w:rPr>
          <w:lang w:val="en-US"/>
        </w:rPr>
      </w:pPr>
      <w:r>
        <w:rPr>
          <w:lang w:val="en-US"/>
        </w:rPr>
        <w:t>В районе работает 9 средних школ – юридических лиц , 3 филиала средних школ,  1 опорный  детский сад и 5 филиалов, 1 бюджетное учреждение дополнительного образования. В школах 1506 учащихся, в дошкольном образовании- 383 ребенка (в нашем районе нет очереди в ДОУ, учет всех желающих детей от 2 месяцев до 7 лет проводится в системе АИС «Е-услуги.), в дополнительном образовании 455 детей. Кадровый педагогический состав: 2023 г.- педагогических работников в общеобразовательных организациях - 157, педагогов дополнительного образования - 6, воспитателей в детсадах -32. - 67 % учителей имеют высшее образование, среднее профессиональное - 33%, - молодых педагогов в возрасте до 35 лет- 18 %. - старше пенсионного возраста - 25%. Средняя заработная плата: общее образование- 37512 руб. дошкольное образование 34486 руб., дополнительное образование 27048,2 руб. В рамках районной программы «Педагогические кадры»: выплачивается компенсация аренды жилья из средств местного бюджета 3 учителям («Екатерининская СОШ», «Корболихинская СОШ», «Плосковская СОШ»). В 2023 году заключён 1 целевой договор с Барнаульским педагогическим колледжем «БГПК им. В.К. Штильке». Молодых специалистов 1 (МКОУ «Садовая СОШ»). Разовую муниципальную материальную поддержку по постановлению главы района 15 тыс. рублей в 2023 году получил 1 специалиста со средним профессиональным образованием. По федеральной программе «Земский учитель» прибыл 1 учитель: МКОУ «Садовая СОШ» - учитель физической культуры. Проведен муниципальный конкурс «Учитель года-24» (победитель и призер из Садовой школы), и «Педагогический дебют» (победитель из Шипунихинской школы, призер из Садовой школы), в заочном этапе регионального конкурса «Учитель года Алтая – 2024» и номинации «Педагогический дебют -2024» приняли участие 2 педагога (из Садовой и Шипунихинской СОШ). На ежедневные занятия осуществлялся подвоз 86 школьников из 7 сел в 7 школах.  Средства местного бюджета выделяются в необходимом объёме на техосмотр, страховку, ГСМ и текущее обслуживание школьных автобусов. В 2023 году в МКОУ «Новоалейская СОШ» и Первокаменская СОШ   за счет краевых средств получены на замену   два новых школьных автобуса.   В 2023 году проведено 4 пришкольных оздоровительных лагеря с дневным пребыванием детей в которых отдохнуло 54 ребенка. В ОУ проводились профильные смены «Досуговая площадка» - в которых  было  занято  165 детей. Дети из образовательных учреждений  отдыхали в краевых летних оздоровительных лагерях  - это 36 обучающихся. 65 старшеклассников были  трудоустроены через Центр занятости  на  общественные  работы, 25 устроились на работу  самостоятельно. На оздоровительную кампанию в 2023 году  выделено  786500 рублей (из них  67000 на  трудоустройство  несовершеннолетних). Новогодние подарки за счет краевого бюджета получили все  учащиеся 1-4 классов общеобразовательных учреждений, за счет средств муниципального бюджета учащиеся 5,6 классов, проведена  благотворительная елка главы района для  детей-инвалидов и детей, находящихся под опекой, подарки выданы индивидуально каждому ребенку. Правительство Алтайского края  выплатило  единовременные денежные средства 10 отличникам из многодетных семей, 20 учеников получили стипендии главы администрации района. Размер родительской платы за присмотр и уход в дошкольных учреждениях изменился с января 2023 г. и составил 2000 руб. 5 детей, находящихся под опекой, посещают детский сад без взимания платы. В течение 2023 года по постановлениям главы  района  предусмотрены и оказываются  льготы  семьям мобилизованных  граждан, находящимся в зоне  СВО: освобождены  от оплаты  за детский  сад – 17 детей, предоставляется бесплатное  питание 19  учащимся  общеобразовательных учреждений. Государственная итоговая аттестация прошла штатно. В проведении был задействован 1 пункт проведения МБОУ «Староалейская СОШ №2», 22 аккредитованных общественных наблюдателя. В ЕГЭ участвовало-44 человека (43 выпускники - 11 класса, 1 – обучающийся 10 класса по предмету география)., 40 участников получили аттестат о среднем общем образовании. 4 человека получили аттестат с отличием и награждены медалями «За особые успехи в учении».Медицинская помощь населению района оказывается КГБУЗ «Староалейская ЦРБ» с круглосуточным стационаром на 38 коек, дневным стационаром на 20 коек, 1 врачебной амбулаторией и 15 ФАПами.В здравоохранении трудится 163 человека, из них 13 врачей, 75 средних медработника и 75 человек прочего персонала. Обеспеченность врачами составила 12,7 человек на 10 тыс. населения (целевой показатель 21), обеспеченность средними медработниками 73.3 человек на 10 тыс.населения (целевой показатель 89).  Уровень общей заболеваемости  на одну тысячу населения составил – 2669 случаев. Занятость круглосуточной койки 282,89, средний срок лечения 8,69 дней. Стоимость лечения в стационаре 1 койко-дня 2526,38 руб. (в 2022 году – 2167,64 руб.). Лечение 1 больного 21769,92 рублей. (в 2022 году – 17468,61 руб.). По диспансеризации взрослого населения осмотрено 3288  человек, что составило 82,97 % от плана, профилактический осмотр прошли 527 человека.В  2023 году организацией культурного досуга в Третьяковском районе  занимались 14 клубных учреждений; 12 библиотек района, ДМШ и «Историко-краеведческий музей Третьяковского района». В  учреждениях культуры района (СДК, СК) работает 41 человек, из них имеют высшее (профессиональное) образование - 11 человек, средне-специальное (профессиональное) - 30 человек. В Третьяковском районе 55,5% кадров в библиотеках с высшим образованием. 11,1% с высшим библиотечным образованием. 16,7% сотрудников имеют библиотечное образование (высшее или средне специальное). Средняя заработная плата составила 32030 руб.   За 2023 год проведено культурно-массовых мероприятий в учреждениях клубного типа - 2651, посетило 132689 чел. В 2023 году пользователями библиотек стали – 9317 чел., количество посещений – 151199. Читателям выдано 213851 экз. различного вида документов. В 2023 году посетили музей - 8141 чел., проведено 69 мероприятий, в государственный каталог  Музейного фонда РФ внесено 1522 экз. На территории района работает одна спортивная организация Муниципальное бюджетное учреждение дополнительного образования «Спортивная школа им. Олимпийского чемпиона С.П. Тарасова» Третьяковского района. Кадровое обеспечение района составляет: 4 единицы (плюс тренеры-преподаватели по совместительству 6 человек) в спортивной школе, 15 единиц в образовательных организациях и 4 единицы в дошкольных образовательных организациях. Из всего кадрового состава 14 человек имеют - высшее образование, остальные - среднее специальное образование.В спортивной школе на постоянной основе занимается 200 человек, в процентном соотношении 15,3% от общего количества учащихся школ района. Всего в 2023 году спортсмены нашего района приняли участие в 32 соревнованиях различного уровня. На территории Третьяковского района проведено 23 различных физкультурно-спортивных и оздоровительных мероприятия. Все спортивные мероприятия освещаются в местной газете «Третьяковский вестник», за год опубликовано более 20 таких материалов, а также можно ознакомиться с информацией на сайте Администрации района, социальных сетях.</w:t>
      </w:r>
    </w:p>
    <w:p w14:paraId="3CC5AB28" w14:textId="77777777" w:rsidR="0074511A" w:rsidRDefault="0074511A">
      <w:pPr>
        <w:spacing w:after="240" w:line="276" w:lineRule="auto"/>
        <w:divId w:val="1537622445"/>
      </w:pPr>
      <w:r>
        <w:br/>
      </w:r>
      <w:r>
        <w:br/>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951"/>
        <w:gridCol w:w="1260"/>
        <w:gridCol w:w="795"/>
      </w:tblGrid>
      <w:tr w:rsidR="0074511A" w14:paraId="2AB2A4E2" w14:textId="77777777" w:rsidTr="008E0719">
        <w:trPr>
          <w:divId w:val="1191646061"/>
          <w:tblCellSpacing w:w="15" w:type="dxa"/>
          <w:jc w:val="right"/>
        </w:trPr>
        <w:tc>
          <w:tcPr>
            <w:tcW w:w="0" w:type="auto"/>
            <w:vAlign w:val="center"/>
            <w:hideMark/>
          </w:tcPr>
          <w:p w14:paraId="0643F607" w14:textId="4AC21747" w:rsidR="0074511A" w:rsidRPr="001F1010" w:rsidRDefault="001F1010" w:rsidP="008E0719">
            <w:pPr>
              <w:spacing w:line="276" w:lineRule="auto"/>
              <w:jc w:val="right"/>
              <w:rPr>
                <w:sz w:val="28"/>
                <w:szCs w:val="28"/>
                <w:lang w:val="en-US"/>
              </w:rPr>
            </w:pPr>
            <w:r>
              <w:rPr>
                <w:sz w:val="28"/>
                <w:szCs w:val="28"/>
                <w:lang w:val="en-US"/>
              </w:rPr>
              <w:lastRenderedPageBreak/>
              <w:t>Глава</w:t>
            </w:r>
          </w:p>
        </w:tc>
        <w:tc>
          <w:tcPr>
            <w:tcW w:w="0" w:type="auto"/>
            <w:vAlign w:val="bottom"/>
            <w:hideMark/>
          </w:tcPr>
          <w:p w14:paraId="78420B82" w14:textId="77777777" w:rsidR="0074511A" w:rsidRDefault="0074511A">
            <w:r>
              <w:t>__________</w:t>
            </w:r>
          </w:p>
        </w:tc>
        <w:tc>
          <w:tcPr>
            <w:tcW w:w="0" w:type="auto"/>
            <w:vAlign w:val="bottom"/>
            <w:hideMark/>
          </w:tcPr>
          <w:p w14:paraId="18C0776F" w14:textId="46AC9841" w:rsidR="0074511A" w:rsidRPr="001F1010" w:rsidRDefault="001F1010">
            <w:pPr>
              <w:spacing w:line="276" w:lineRule="auto"/>
              <w:rPr>
                <w:sz w:val="28"/>
                <w:szCs w:val="28"/>
                <w:lang w:val="en-US"/>
              </w:rPr>
            </w:pPr>
            <w:r>
              <w:rPr>
                <w:sz w:val="28"/>
                <w:szCs w:val="28"/>
                <w:lang w:val="en-US"/>
              </w:rPr>
              <w:t>Герман Евгений Эдуардович</w:t>
            </w:r>
          </w:p>
        </w:tc>
      </w:tr>
      <w:tr w:rsidR="0074511A" w14:paraId="7CE077F3" w14:textId="77777777" w:rsidTr="008E0719">
        <w:trPr>
          <w:divId w:val="1191646061"/>
          <w:tblCellSpacing w:w="15" w:type="dxa"/>
          <w:jc w:val="right"/>
        </w:trPr>
        <w:tc>
          <w:tcPr>
            <w:tcW w:w="0" w:type="auto"/>
            <w:vAlign w:val="center"/>
            <w:hideMark/>
          </w:tcPr>
          <w:p w14:paraId="226C377D" w14:textId="77777777" w:rsidR="0074511A" w:rsidRDefault="0074511A">
            <w:r>
              <w:t> </w:t>
            </w:r>
          </w:p>
        </w:tc>
        <w:tc>
          <w:tcPr>
            <w:tcW w:w="0" w:type="auto"/>
            <w:hideMark/>
          </w:tcPr>
          <w:p w14:paraId="2C997188" w14:textId="77777777" w:rsidR="0074511A" w:rsidRDefault="0074511A">
            <w:r>
              <w:t>(подпись)</w:t>
            </w:r>
          </w:p>
        </w:tc>
        <w:tc>
          <w:tcPr>
            <w:tcW w:w="0" w:type="auto"/>
            <w:vAlign w:val="center"/>
            <w:hideMark/>
          </w:tcPr>
          <w:p w14:paraId="15A52DF3" w14:textId="77777777" w:rsidR="0074511A" w:rsidRDefault="0074511A">
            <w:r>
              <w:t> </w:t>
            </w:r>
          </w:p>
        </w:tc>
      </w:tr>
    </w:tbl>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95"/>
        <w:gridCol w:w="81"/>
      </w:tblGrid>
      <w:tr w:rsidR="0074511A" w14:paraId="4534185B" w14:textId="77777777">
        <w:trPr>
          <w:divId w:val="1537622445"/>
          <w:tblCellSpacing w:w="15" w:type="dxa"/>
        </w:trPr>
        <w:tc>
          <w:tcPr>
            <w:tcW w:w="5550" w:type="dxa"/>
            <w:vAlign w:val="center"/>
            <w:hideMark/>
          </w:tcPr>
          <w:p w14:paraId="4A6699B7" w14:textId="77777777" w:rsidR="0074511A" w:rsidRDefault="0074511A">
            <w:r>
              <w:t> </w:t>
            </w:r>
          </w:p>
        </w:tc>
        <w:tc>
          <w:tcPr>
            <w:tcW w:w="0" w:type="auto"/>
            <w:vAlign w:val="center"/>
            <w:hideMark/>
          </w:tcPr>
          <w:p w14:paraId="5D23E5CF" w14:textId="77777777" w:rsidR="0074511A" w:rsidRDefault="0074511A"/>
        </w:tc>
      </w:tr>
    </w:tbl>
    <w:p w14:paraId="7A9732F2" w14:textId="77777777" w:rsidR="0074511A" w:rsidRDefault="0074511A">
      <w:pPr>
        <w:divId w:val="1537622445"/>
      </w:pPr>
    </w:p>
    <w:sectPr w:rsidR="0074511A" w:rsidSect="00D4714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599C" w14:textId="77777777" w:rsidR="00C97D56" w:rsidRDefault="00C97D56" w:rsidP="00D47142">
      <w:r>
        <w:separator/>
      </w:r>
    </w:p>
  </w:endnote>
  <w:endnote w:type="continuationSeparator" w:id="0">
    <w:p w14:paraId="58D46829" w14:textId="77777777" w:rsidR="00C97D56" w:rsidRDefault="00C97D56" w:rsidP="00D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DE3B" w14:textId="77777777" w:rsidR="00D47142" w:rsidRDefault="00D471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4340" w14:textId="77777777" w:rsidR="00D47142" w:rsidRDefault="00D47142" w:rsidP="00D47142">
    <w:pPr>
      <w:pStyle w:val="a7"/>
      <w:jc w:val="right"/>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02DA" w14:textId="77777777" w:rsidR="00D47142" w:rsidRDefault="00D471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F16" w14:textId="77777777" w:rsidR="00C97D56" w:rsidRDefault="00C97D56" w:rsidP="00D47142">
      <w:r>
        <w:separator/>
      </w:r>
    </w:p>
  </w:footnote>
  <w:footnote w:type="continuationSeparator" w:id="0">
    <w:p w14:paraId="6B787BE2" w14:textId="77777777" w:rsidR="00C97D56" w:rsidRDefault="00C97D56" w:rsidP="00D4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1AD6" w14:textId="77777777" w:rsidR="00D47142" w:rsidRDefault="00D4714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4815" w14:textId="77777777" w:rsidR="00D47142" w:rsidRDefault="00D4714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3AB7" w14:textId="77777777" w:rsidR="00D47142" w:rsidRDefault="00D4714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142"/>
    <w:rsid w:val="000D3D3D"/>
    <w:rsid w:val="0015389F"/>
    <w:rsid w:val="001F1010"/>
    <w:rsid w:val="00467A05"/>
    <w:rsid w:val="005A1D93"/>
    <w:rsid w:val="00705BA6"/>
    <w:rsid w:val="0074511A"/>
    <w:rsid w:val="008E0719"/>
    <w:rsid w:val="00954C8F"/>
    <w:rsid w:val="00C97D56"/>
    <w:rsid w:val="00D4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7D70E"/>
  <w15:chartTrackingRefBased/>
  <w15:docId w15:val="{CCFF18FB-2FD0-4234-9917-B6419077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D47142"/>
    <w:pPr>
      <w:tabs>
        <w:tab w:val="center" w:pos="4677"/>
        <w:tab w:val="right" w:pos="9355"/>
      </w:tabs>
    </w:pPr>
  </w:style>
  <w:style w:type="character" w:customStyle="1" w:styleId="a6">
    <w:name w:val="Верхний колонтитул Знак"/>
    <w:basedOn w:val="a0"/>
    <w:link w:val="a5"/>
    <w:uiPriority w:val="99"/>
    <w:semiHidden/>
    <w:rsid w:val="00D47142"/>
    <w:rPr>
      <w:rFonts w:eastAsia="Times New Roman"/>
      <w:sz w:val="24"/>
      <w:szCs w:val="24"/>
    </w:rPr>
  </w:style>
  <w:style w:type="paragraph" w:styleId="a7">
    <w:name w:val="footer"/>
    <w:basedOn w:val="a"/>
    <w:link w:val="a8"/>
    <w:uiPriority w:val="99"/>
    <w:semiHidden/>
    <w:unhideWhenUsed/>
    <w:rsid w:val="00D47142"/>
    <w:pPr>
      <w:tabs>
        <w:tab w:val="center" w:pos="4677"/>
        <w:tab w:val="right" w:pos="9355"/>
      </w:tabs>
    </w:pPr>
  </w:style>
  <w:style w:type="character" w:customStyle="1" w:styleId="a8">
    <w:name w:val="Нижний колонтитул Знак"/>
    <w:basedOn w:val="a0"/>
    <w:link w:val="a7"/>
    <w:uiPriority w:val="99"/>
    <w:semiHidden/>
    <w:rsid w:val="00D471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2445">
      <w:marLeft w:val="0"/>
      <w:marRight w:val="0"/>
      <w:marTop w:val="0"/>
      <w:marBottom w:val="0"/>
      <w:divBdr>
        <w:top w:val="none" w:sz="0" w:space="0" w:color="auto"/>
        <w:left w:val="none" w:sz="0" w:space="0" w:color="auto"/>
        <w:bottom w:val="none" w:sz="0" w:space="0" w:color="auto"/>
        <w:right w:val="none" w:sz="0" w:space="0" w:color="auto"/>
      </w:divBdr>
      <w:divsChild>
        <w:div w:id="223301121">
          <w:marLeft w:val="300"/>
          <w:marRight w:val="0"/>
          <w:marTop w:val="0"/>
          <w:marBottom w:val="0"/>
          <w:divBdr>
            <w:top w:val="none" w:sz="0" w:space="0" w:color="auto"/>
            <w:left w:val="none" w:sz="0" w:space="0" w:color="auto"/>
            <w:bottom w:val="none" w:sz="0" w:space="0" w:color="auto"/>
            <w:right w:val="none" w:sz="0" w:space="0" w:color="auto"/>
          </w:divBdr>
        </w:div>
        <w:div w:id="1450320109">
          <w:marLeft w:val="300"/>
          <w:marRight w:val="0"/>
          <w:marTop w:val="0"/>
          <w:marBottom w:val="0"/>
          <w:divBdr>
            <w:top w:val="none" w:sz="0" w:space="0" w:color="auto"/>
            <w:left w:val="none" w:sz="0" w:space="0" w:color="auto"/>
            <w:bottom w:val="none" w:sz="0" w:space="0" w:color="auto"/>
            <w:right w:val="none" w:sz="0" w:space="0" w:color="auto"/>
          </w:divBdr>
        </w:div>
        <w:div w:id="1006633197">
          <w:marLeft w:val="300"/>
          <w:marRight w:val="0"/>
          <w:marTop w:val="0"/>
          <w:marBottom w:val="0"/>
          <w:divBdr>
            <w:top w:val="none" w:sz="0" w:space="0" w:color="auto"/>
            <w:left w:val="none" w:sz="0" w:space="0" w:color="auto"/>
            <w:bottom w:val="none" w:sz="0" w:space="0" w:color="auto"/>
            <w:right w:val="none" w:sz="0" w:space="0" w:color="auto"/>
          </w:divBdr>
        </w:div>
        <w:div w:id="672149918">
          <w:marLeft w:val="300"/>
          <w:marRight w:val="0"/>
          <w:marTop w:val="0"/>
          <w:marBottom w:val="0"/>
          <w:divBdr>
            <w:top w:val="none" w:sz="0" w:space="0" w:color="auto"/>
            <w:left w:val="none" w:sz="0" w:space="0" w:color="auto"/>
            <w:bottom w:val="none" w:sz="0" w:space="0" w:color="auto"/>
            <w:right w:val="none" w:sz="0" w:space="0" w:color="auto"/>
          </w:divBdr>
        </w:div>
        <w:div w:id="1356543834">
          <w:marLeft w:val="300"/>
          <w:marRight w:val="0"/>
          <w:marTop w:val="0"/>
          <w:marBottom w:val="0"/>
          <w:divBdr>
            <w:top w:val="none" w:sz="0" w:space="0" w:color="auto"/>
            <w:left w:val="none" w:sz="0" w:space="0" w:color="auto"/>
            <w:bottom w:val="none" w:sz="0" w:space="0" w:color="auto"/>
            <w:right w:val="none" w:sz="0" w:space="0" w:color="auto"/>
          </w:divBdr>
        </w:div>
        <w:div w:id="1611469857">
          <w:marLeft w:val="300"/>
          <w:marRight w:val="0"/>
          <w:marTop w:val="0"/>
          <w:marBottom w:val="0"/>
          <w:divBdr>
            <w:top w:val="none" w:sz="0" w:space="0" w:color="auto"/>
            <w:left w:val="none" w:sz="0" w:space="0" w:color="auto"/>
            <w:bottom w:val="none" w:sz="0" w:space="0" w:color="auto"/>
            <w:right w:val="none" w:sz="0" w:space="0" w:color="auto"/>
          </w:divBdr>
        </w:div>
        <w:div w:id="1437944105">
          <w:marLeft w:val="300"/>
          <w:marRight w:val="0"/>
          <w:marTop w:val="0"/>
          <w:marBottom w:val="0"/>
          <w:divBdr>
            <w:top w:val="none" w:sz="0" w:space="0" w:color="auto"/>
            <w:left w:val="none" w:sz="0" w:space="0" w:color="auto"/>
            <w:bottom w:val="none" w:sz="0" w:space="0" w:color="auto"/>
            <w:right w:val="none" w:sz="0" w:space="0" w:color="auto"/>
          </w:divBdr>
        </w:div>
        <w:div w:id="1904366202">
          <w:marLeft w:val="300"/>
          <w:marRight w:val="0"/>
          <w:marTop w:val="0"/>
          <w:marBottom w:val="0"/>
          <w:divBdr>
            <w:top w:val="none" w:sz="0" w:space="0" w:color="auto"/>
            <w:left w:val="none" w:sz="0" w:space="0" w:color="auto"/>
            <w:bottom w:val="none" w:sz="0" w:space="0" w:color="auto"/>
            <w:right w:val="none" w:sz="0" w:space="0" w:color="auto"/>
          </w:divBdr>
        </w:div>
        <w:div w:id="1972859180">
          <w:marLeft w:val="300"/>
          <w:marRight w:val="0"/>
          <w:marTop w:val="0"/>
          <w:marBottom w:val="0"/>
          <w:divBdr>
            <w:top w:val="none" w:sz="0" w:space="0" w:color="auto"/>
            <w:left w:val="none" w:sz="0" w:space="0" w:color="auto"/>
            <w:bottom w:val="none" w:sz="0" w:space="0" w:color="auto"/>
            <w:right w:val="none" w:sz="0" w:space="0" w:color="auto"/>
          </w:divBdr>
        </w:div>
        <w:div w:id="119164606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Words>
  <Characters>530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dc:description/>
  <cp:lastModifiedBy>Роман Петренко</cp:lastModifiedBy>
  <cp:revision>6</cp:revision>
  <dcterms:created xsi:type="dcterms:W3CDTF">2022-03-29T02:16:00Z</dcterms:created>
  <dcterms:modified xsi:type="dcterms:W3CDTF">2022-03-29T03:14:00Z</dcterms:modified>
</cp:coreProperties>
</file>