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2A95" w14:textId="77777777" w:rsidR="0074511A" w:rsidRDefault="0074511A">
      <w:pPr>
        <w:spacing w:line="276" w:lineRule="auto"/>
        <w:divId w:val="1537622445"/>
      </w:pPr>
      <w:bookmarkStart w:id="0" w:name="_GoBack"/>
      <w:bookmarkEnd w:id="0"/>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Третьяковского района</w:t>
            </w:r>
            <w:r w:rsidR="000D3D3D">
              <w:rPr>
                <w:b/>
                <w:bCs/>
                <w:sz w:val="28"/>
                <w:szCs w:val="28"/>
                <w:lang w:val="en-US"/>
              </w:rPr>
              <w:t xml:space="preserve"> </w:t>
            </w:r>
            <w:r w:rsidR="0074511A">
              <w:rPr>
                <w:b/>
                <w:bCs/>
                <w:sz w:val="28"/>
                <w:szCs w:val="28"/>
              </w:rPr>
              <w:t xml:space="preserve">в </w:t>
            </w:r>
            <w:r>
              <w:rPr>
                <w:b/>
                <w:bCs/>
                <w:sz w:val="28"/>
                <w:szCs w:val="28"/>
                <w:lang w:val="en-US"/>
              </w:rPr>
              <w:t>2022</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1"/>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3"/>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На территории Третьяковского района действуют два средних промышленных предприятия занимающихся обрабатывающим производством: ООО «Третьяковский элеватор» - зернопереработка и ООО «Третьяковский маслосырзавод» - переработка молока. За 2022 год объем отгруженных товаров собственного производства по району составил 2858,5 млн. рублей, произошло увеличение объема производства на 59,4%. Индекс промышленного производства составил 124,8% к уровню прошлого года. Причина увеличения индекса промышленного производства связана с увеличением объемов производства молочной  продукции. Объем промышленного производства на душу населения по итогам 2022 года составляет 246,3 тыс. рублей.</w:t>
      </w:r>
    </w:p>
    <w:p w14:paraId="25D208A8" w14:textId="77777777" w:rsidR="0074511A" w:rsidRDefault="0074511A" w:rsidP="008E0719">
      <w:pPr>
        <w:spacing w:before="240" w:after="240" w:line="276" w:lineRule="auto"/>
        <w:jc w:val="center"/>
        <w:divId w:val="1450320109"/>
      </w:pPr>
      <w:r>
        <w:rPr>
          <w:rStyle w:val="a3"/>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 xml:space="preserve">За отчетный период выручка от реализации сельхозпродукции, работ и услуг составила 1408,8 млн. рублей. По  сравнению с аналогичным периодом прошлого года рост составил 110,7%, в 2021 году было реализовано продукции на 1272,6 млн. руб.   В том числе  продукции растениеводства реализовали на сумму 835 млн.руб.,  от продажи продукции животноводства сельхозпредприятия  получили   498,2 млн. руб.,   больше прошлого года на 126,8%. По итогам 2022года   получена прибыль в сумме 342,3 млн. руб. В производственной деятельности сельхозпредприятий наиболее рентабельной  отраслью является растениеводство, оно дало прибыли 364,0 млн.руб., рентабельность 77,2 %. За 2022 год сельхозтоваропроизводителями  реализовано зерна 28602 тонн  на сумму 586 млн.руб. Подсолнечника продали 6663 тонны  получили от его реализации 148 млн.руб.        Сельхозпредприятия  выращивают культуры,  которые востребованы на рынке такие как  соя,  чечевица, лен- кудряш. За отчетный год   реализовали  льна-кудряша 3137 тонн  цене 26628 руб., за 1 тонну. В животноводстве показатели экономической эффективности значительно ниже, чем в растениеводстве. От реализации продукции животноводства в отчетном году  сельхозпредприятиями получен убыток 32,6 млн.руб.  Для животноводческой  отрасли района прошедший год также сложился не из легких. Поголовье крупного рогатого скота  по сравнению с 2021 годом снизилось на 638голов, уменьшение поголовья  произошло  как в сельхозпред-приятиях,  так и в хозяйствах населения. Успешная зимовка скота  в стойловый    период зависит от  качества и количества заготовленного корма в летний период. В этом году  общественное стадо   в полном объеме обеспечены кормами.  Для зимовки 2022-2023 года  заготовлено кормов  45,1 ц.к.ед. из расчета  на 1 условную голову.По состоянию на 1 января 2023года в районе имеется 14,9 тыс. голов крупного рогатого скота, в том числе  6,1  тыс. голов </w:t>
      </w:r>
      <w:r w:rsidRPr="008E0719">
        <w:lastRenderedPageBreak/>
        <w:t>коров, свиней 2,5 тыс. голов и овец 918 голов . Хозяйства реализовали  11461 т. молока на сумму 371,3 млн.руб. Цена реализации 1 т молока  в среднем составила 32394руб.   На производство 1 тонны  молока израсходовали 28420руб.  Прибыль от реализации молока составила  23,5 млн.руб .</w:t>
      </w:r>
    </w:p>
    <w:p w14:paraId="5A13D8F4" w14:textId="77777777" w:rsidR="0074511A" w:rsidRDefault="0074511A" w:rsidP="008E0719">
      <w:pPr>
        <w:spacing w:before="240" w:after="240" w:line="276" w:lineRule="auto"/>
        <w:jc w:val="center"/>
        <w:divId w:val="1006633197"/>
      </w:pPr>
      <w:r>
        <w:rPr>
          <w:rStyle w:val="a3"/>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Согласно реализации Государственной программы Российской Федерации «Комплексное развитие сельских территорий» на территории  Третьяковского района в 2022 году выделена субсидия на строительство индивидуального дома 1 семье. Сумма субсидий составила – 2 808 918 рублей. В 2022 году переведен 1 транш в сумме – 1 384 239 рублей, остаток суммы будет переведен в 2023 году 2 траншем. В рамках реализации подпрограммы 2 государственной программы Алтайского края «Обеспечение населения Алтайского края жилищно-коммунальными услугами», Администрацией района была приобретена и установлена модульная котельная по адресу: Третьяковский район, С, Староалейское, ул. Шоссейная, 51а-2, на сумму 14 925,9 тыс. рублей, так же приобретено котельное оборудование и материалы (7 водоподготовительных установок для котельных, 3 котла, дизель-генератор, 3 дымовых трубы и т.д.) на сумму 10 128,7 тыс.рублей. ремонт спортивного зала МКОУ «Третьяковская СОШ» по программе  «Успех каждого ребенка», федеральные средства - 3 658,4 тыс. рублей. Выборочный капитальный ремонт здания МКОУ «Садовая СОШ» - 8375,2 тыс. рублей (федеральные и краевые средства) ремонт кровли, окон, входных групп, поставка  нового оборудования  для  учебного процесса. Капитальный ремонт МКОУ «Староалейская СОШ №1» - освоено в 2022 году 37 091,2 тыс. рублей (краевые и федеральные средства) – общий контракт на сумму 69 407,1 тыс. рублей. Проведен капитальный ремонт Сельского дома культуры п.Садовый - за счет средств краевого бюджета – 9762976 руб.; мебель для СДК п.Садовый – 147600 руб.;  за счет средств МО – 1084875 руб. Благоустройство мемориального комплекса по ул.Калашникова 38» 1 этап - контракт заключен №21-02 от 07.12.2021г. на сумму 4055145 руб. Работы запланированные на 2022 год выполнены.</w:t>
      </w:r>
    </w:p>
    <w:p w14:paraId="50EDF568" w14:textId="77777777" w:rsidR="0074511A" w:rsidRDefault="0074511A" w:rsidP="008E0719">
      <w:pPr>
        <w:spacing w:before="240" w:after="240" w:line="276" w:lineRule="auto"/>
        <w:jc w:val="center"/>
        <w:divId w:val="672149918"/>
      </w:pPr>
      <w:r>
        <w:rPr>
          <w:rStyle w:val="a3"/>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 xml:space="preserve">На 01.01.2022 года в реестре субъектов малого и среднего бизнеса числится 186 субъектов.   В течении отчетного года проведена работа по предоставлению ин-формации и консультаций субъектам малого и среднего бизнеса по использованию инструментов государственной поддержки, предусмотренной на федеральном, краевом уровнях; предоставлены методические рекомендации и оказана практическая помощь по вопросам организации и ведения бизнеса, выбор системы налогообложения, заполнение  заявлений и других документов. Очень большая работа проведена по разъяснением работы субъектов малого и среднего бизнеса по реализации товаров, подлежащих обязательной  маркировке (обувь, одежда, духи, шины, молочная продукция и т.д.).  Вся информация об информационной, имущественной поддержки заносится в программу  АИС «Мониторинг СМП». В декабре проведено обновление </w:t>
      </w:r>
      <w:r w:rsidRPr="001F1010">
        <w:lastRenderedPageBreak/>
        <w:t>аналитических данных  в сфере потребительского рынка.При главе района функционирует общественный Совет предпринимателей. В течении года проводились заседания общественного Совета предпринимателей, где рассматривались вопросы награждения лучших предпринимателей района, помощи мобилизованным и их семьям, организация праздничных мероприятий ко Дню российского предпринимательства, подведение итогов работы Совета, организация волейбольного турнира на приз предпринимателей, совещания-семинары по изменениям в налоговом законодательстве, организационные вопросы в оказании помощи мобилизованным и благотворительных акциях и т.д.</w:t>
      </w:r>
    </w:p>
    <w:p w14:paraId="22B05A6E" w14:textId="77777777" w:rsidR="0074511A" w:rsidRDefault="0074511A" w:rsidP="008E0719">
      <w:pPr>
        <w:spacing w:before="240" w:after="240" w:line="276" w:lineRule="auto"/>
        <w:jc w:val="center"/>
        <w:divId w:val="1356543834"/>
      </w:pPr>
      <w:r>
        <w:rPr>
          <w:rStyle w:val="a3"/>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Общая численность зарегистрированных безработных в районе на 01.01.2023года – 57 чел. (на 01.01.2022 – 89 человека), уровень безработицы за 2022 год составил – 1 % . В целом напряженность на официальном рынке труда на начало января 2023 года составила 5,08 человек на 1 место</w:t>
      </w:r>
    </w:p>
    <w:p w14:paraId="4C50A55C" w14:textId="77777777" w:rsidR="0074511A" w:rsidRDefault="0074511A" w:rsidP="008E0719">
      <w:pPr>
        <w:spacing w:before="240" w:after="240" w:line="276" w:lineRule="auto"/>
        <w:jc w:val="center"/>
        <w:divId w:val="1611469857"/>
      </w:pPr>
      <w:r>
        <w:rPr>
          <w:rStyle w:val="a3"/>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Одним из важнейших показателей уровня жизни населения остается заработная плата и своевременность ее получения. По району среднемесячная заработная плата по крупным и средним организациям составляет 31388 руб., что на 18,4 % выше 2021 года.</w:t>
      </w:r>
    </w:p>
    <w:p w14:paraId="3241552C" w14:textId="77777777" w:rsidR="0074511A" w:rsidRDefault="0074511A" w:rsidP="008E0719">
      <w:pPr>
        <w:spacing w:before="240" w:after="240" w:line="276" w:lineRule="auto"/>
        <w:jc w:val="center"/>
        <w:divId w:val="1437944105"/>
      </w:pPr>
      <w:r>
        <w:rPr>
          <w:rStyle w:val="a3"/>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Бюджетная политика в 2022 году была направлена на увеличение нало-говых и неналоговых доходов, обеспечение сбалансированности бюджетов, по-вышение результативности бюджетных расходов, сокращение просроченной кредиторской задолженности.Консолидированный бюджет по доходам исполнен в сумме 518 млн. рублей, 98%  исполнение к уточненному плану, увеличение к бюджету 2021 года  131%.Собственные  доходы  составили  139 млн.рублей – 107%  выполнение первоначального плана 2022 года,  119  % рост к факту 2021 года. 52 %  нало-говых доходов составляет  налог на доходы физических лиц, по увеличению данного налога  ведется постоянная работа в части легализации заработной платы работающего населения, выводу из «тени» доходов малого бизнеса.Объем безвозмездных поступлений из краевого бюджета  составил 379 млн. рублей и увеличен к первоначально запланированному бюджету на 150  млн. рублей.По итогам 2022 года  расходная часть консолидированного бюджета ис-полнена в сумме 506 млн. рублей или 98 % к уточненному плану и 131 % к бюджету 2021 года.   Расходы бюджета имеют социальную направленность:-расходы на образование составляют –59 %  в общем объеме расходов;-культуру – 9%;-социальную политику – 4 %-спорт - 2%.В  2022 году на финансирование 23 муниципальных программ направле-но средств местных бюджетов 60046 тыс.рублей.</w:t>
      </w:r>
    </w:p>
    <w:p w14:paraId="38976BD3" w14:textId="77777777" w:rsidR="0074511A" w:rsidRDefault="0074511A" w:rsidP="008E0719">
      <w:pPr>
        <w:spacing w:before="240" w:after="240" w:line="276" w:lineRule="auto"/>
        <w:jc w:val="center"/>
        <w:divId w:val="1904366202"/>
      </w:pPr>
      <w:r>
        <w:rPr>
          <w:rStyle w:val="a3"/>
          <w:sz w:val="28"/>
          <w:szCs w:val="28"/>
        </w:rPr>
        <w:t xml:space="preserve">Жилищно-коммунальное хозяйство </w:t>
      </w:r>
    </w:p>
    <w:p w14:paraId="22274C61" w14:textId="7E4CE4F0" w:rsidR="0074511A" w:rsidRPr="001F1010" w:rsidRDefault="001F1010" w:rsidP="001F1010">
      <w:pPr>
        <w:spacing w:line="276" w:lineRule="auto"/>
        <w:jc w:val="both"/>
        <w:divId w:val="1904366202"/>
        <w:rPr>
          <w:lang w:val="en-US"/>
        </w:rPr>
      </w:pPr>
      <w:r>
        <w:rPr>
          <w:lang w:val="en-US"/>
        </w:rPr>
        <w:lastRenderedPageBreak/>
        <w:t>По-прежнему остается напряженной ситуация в жилищно-коммунальном хозяйстве. В районе 16 твердотопливных котельных и топочных. 23 км. теплосетей в двухтрубном исполнении. 40 скважин водоснабжения. 40 км. водопроводных сетей. 1 перекачивающая канализационная станция. 3 км. канализационных сетей. 160 комплексных трансформаторных подстанций (КТП). 577 км. высоковольтных электролиний. В 2022 году постановлением Администрации Третьяковского района № 369 от 21.09.2022г. отопительный сезон 2022-2023г. пробный запуск котель-ных начат с 25.09.2022г. Все котельные на территории Третьяковского района введены своевременно, сбоев не было.В рамках реализации подпрограммы 2 государственной программы Ал-тайского края «Обеспечение населения Алтайского края жилищно-коммунальными услугами», Администрацией района была приобретена и установлена модульная котельная по адресу: Третьяковский район, С, Старо-алейское, ул. Шоссейная, 51а-2, на сумму 14 925,9 тыс. рублей, так же приоб-ретено котельное оборудование и материалы (7 водоподготовительных устано-вок для котельных, 3 котла, дизель-генератор, 3 дымовых трубы и т.д.) на сумму 10 128,7 тыс.рублей.Так же за счет собственных средств приобретены следующее оборудова-ние: сетевой насос (с. Первомайское), дымосос (п. Садовый), предохранитель-ные клапана (с. Новоалейское), тепловая камера и сетевой насос (с. Корболи-ха), заменены тепловые сети в с. Екатерининское – 400 м.Согласно заключенному соглашению с Министреством строительства и коммунального хозяйства Алтайского края Администрацией Третьяковского района был сформирован резервный запас угля в количестве 1956 тонн, на сумму 6 177 тыс. рублей.Согласно постановление Администрации Третьяковского района Алтай-ского края № 218 от 10.06.2022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Третьяковского района Алтайского края», оплачено населению:За уголь – 507,9 тыс.руб. (528 человек);За центральное отопление  - 718,9 тыс.руб. (818 человек).</w:t>
      </w:r>
    </w:p>
    <w:p w14:paraId="58A9E30E" w14:textId="77777777" w:rsidR="0074511A" w:rsidRDefault="0074511A" w:rsidP="008E0719">
      <w:pPr>
        <w:spacing w:before="240" w:after="240" w:line="276" w:lineRule="auto"/>
        <w:jc w:val="center"/>
        <w:divId w:val="1972859180"/>
      </w:pPr>
      <w:r>
        <w:rPr>
          <w:rStyle w:val="a3"/>
          <w:sz w:val="28"/>
          <w:szCs w:val="28"/>
        </w:rPr>
        <w:t xml:space="preserve">Социальная сфера </w:t>
      </w:r>
    </w:p>
    <w:p w14:paraId="0DACE479" w14:textId="592C1628" w:rsidR="0074511A" w:rsidRPr="001F1010" w:rsidRDefault="001F1010" w:rsidP="001F1010">
      <w:pPr>
        <w:spacing w:line="276" w:lineRule="auto"/>
        <w:jc w:val="both"/>
        <w:divId w:val="1972859180"/>
        <w:rPr>
          <w:lang w:val="en-US"/>
        </w:rPr>
      </w:pPr>
      <w:r>
        <w:rPr>
          <w:lang w:val="en-US"/>
        </w:rPr>
        <w:t xml:space="preserve">В районе работает 9 средних школ – юридических лиц (8 казенных 1 бюджет-ная), 3 филиала средних школ, 4 структурных подразделения в средних шко-лах (дошкольное образование), 1 опорный (бюджетный) детский сад и 5 фили-алов, 1 бюджетное учреждение дополнительного образования.В школах 1591учащийся, в дошкольном образовании- 420 ребенка( нашем районе нет очереди в ДОУ, учет всех желающих детей от 2  месяцев до 7 лет проводится в системе АИС «Е-услуги.), в дополнительном 358 детей. Кадровый педагогический состав: 2022 г.- учителей 155, педагогов доп.образования 6, воспитателей в  ДОУ-37.- 66 % учителей имеют высшее образование, среднее профессиональное  34%,- молодых педагогов в возрасте до 35 лет- 18 %.- старше пенсионного возраста - 25%Размер родительской платы за присмотр и уход в дошкольных учреждениях изменился с  января 2023 г. и составил 2000 руб. 7 детей, находящихся под опекой, посещают детский сад без взимания платы.В рамках районной программы «Педагогические кадры»: выплачивается компенсация аренды жилья из средств местного бюджета 4 учителям. По федеральной программе «Земский учитель» прибыли 3 учителя: МКОУ «Екатерининская СОШ» - учитель физической  культуры, МКОУ «Корболихинская СОШ» - учитель русского языка и литературы, учитель </w:t>
      </w:r>
      <w:r>
        <w:rPr>
          <w:lang w:val="en-US"/>
        </w:rPr>
        <w:lastRenderedPageBreak/>
        <w:t>истории и обществознания. На ежедневные занятия подвозились 101 школьника из 9 сел в 7 школах. С ноября 2022 года по постановлениям главы  района  предусмотрены и оказываются  льготы  семьям мобилизованных  граждан, находящимся в зоне  СВО: освобождены  от оплаты  за детский  сад – 11детей, предоставляется 23  учащимся  ОУ бесплатное  питание.Медицинская помощь населению района оказывается КГБУЗ «Староалейская ЦРБ» с круглосуточным стационаром на 38 коек, дневным стационаром на 20 коек, 1 врачебной амбулаторией и 15 ФАПами В здравоохранении трудится 165 человека, из них 15 врачей, 77 средних медработника и 73 человек прочего персонала.Обеспеченность врачами составила 12,9 человек на 10 тыс. населения (целевой показатель 21,4), обеспеченность средними медработниками 67,2 че-ловек на 10 тыс.населения (целевой показатель 89,1).Уровень общей заболеваемости  на одну тысячу населения составил – 1209 случаев. Занятость круглосуточной койки 147,8, средний срок лечения 8,1 дней. Стоимость лечения в стационаре 1 койко-дня 2167,64 руб. (в 2021 го-ду – 2003,1 руб.). Лечение 1 больного 17468,61 рублей. (в 2021 году – 16822,49 руб.).По диспансеризации взрослого населения осмотрено 1616  человек, что составило 42,42 % от плана. В 2022 году было получено: стоматологическая установка, концентрато-ры кислорода – 3 штуки, доплер-фетальный, дезинфекционная камера, кар-диометр 1 штука, был получен один автомобиль СМП. Так же был сделан ремонт в Первомайском ФАП (замена отопления).В  2022 году организацией культурного досуга в Третьяковском районе  занимались 14 клубных учреждений; 12 библиотек района, «Староалейская детская музыкальная школа» и «Историко-краеведческий музей Третьяковского района».Учреждения культуры работают 105 чел.: из них основной персонал 70 (имеют высшее и профессиональное образование 100%), а 35 чел. обслуживающий персонал. </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758"/>
        <w:gridCol w:w="1260"/>
        <w:gridCol w:w="3522"/>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1F1010" w:rsidRDefault="001F1010" w:rsidP="008E0719">
            <w:pPr>
              <w:spacing w:line="276" w:lineRule="auto"/>
              <w:jc w:val="right"/>
              <w:rPr>
                <w:sz w:val="28"/>
                <w:szCs w:val="28"/>
                <w:lang w:val="en-US"/>
              </w:rPr>
            </w:pPr>
            <w:r>
              <w:rPr>
                <w:sz w:val="28"/>
                <w:szCs w:val="28"/>
                <w:lang w:val="en-US"/>
              </w:rPr>
              <w:t>Глава</w:t>
            </w:r>
          </w:p>
        </w:tc>
        <w:tc>
          <w:tcPr>
            <w:tcW w:w="0" w:type="auto"/>
            <w:vAlign w:val="bottom"/>
            <w:hideMark/>
          </w:tcPr>
          <w:p w14:paraId="78420B82" w14:textId="77777777" w:rsidR="0074511A" w:rsidRDefault="0074511A">
            <w:r>
              <w:t>__________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Герман Евгений Эдуардович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DF6E3" w14:textId="77777777" w:rsidR="000741B0" w:rsidRDefault="000741B0" w:rsidP="00D47142">
      <w:r>
        <w:separator/>
      </w:r>
    </w:p>
  </w:endnote>
  <w:endnote w:type="continuationSeparator" w:id="0">
    <w:p w14:paraId="23AF2F2E" w14:textId="77777777" w:rsidR="000741B0" w:rsidRDefault="000741B0"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8DE3B" w14:textId="77777777" w:rsidR="00D47142" w:rsidRDefault="00D4714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340" w14:textId="7A009FD8" w:rsidR="00D47142" w:rsidRDefault="00D47142" w:rsidP="00D47142">
    <w:pPr>
      <w:pStyle w:val="a6"/>
      <w:jc w:val="right"/>
    </w:pPr>
    <w:r>
      <w:fldChar w:fldCharType="begin"/>
    </w:r>
    <w:r>
      <w:instrText xml:space="preserve"> PAGE  \* MERGEFORMAT </w:instrText>
    </w:r>
    <w:r>
      <w:fldChar w:fldCharType="separate"/>
    </w:r>
    <w:r w:rsidR="008D7BD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02DA" w14:textId="77777777" w:rsidR="00D47142" w:rsidRDefault="00D471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4BBC0" w14:textId="77777777" w:rsidR="000741B0" w:rsidRDefault="000741B0" w:rsidP="00D47142">
      <w:r>
        <w:separator/>
      </w:r>
    </w:p>
  </w:footnote>
  <w:footnote w:type="continuationSeparator" w:id="0">
    <w:p w14:paraId="7B64A1EE" w14:textId="77777777" w:rsidR="000741B0" w:rsidRDefault="000741B0"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1AD6" w14:textId="77777777" w:rsidR="00D47142" w:rsidRDefault="00D471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B4815" w14:textId="77777777" w:rsidR="00D47142" w:rsidRDefault="00D471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63AB7" w14:textId="77777777" w:rsidR="00D47142" w:rsidRDefault="00D4714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142"/>
    <w:rsid w:val="000741B0"/>
    <w:rsid w:val="000D3D3D"/>
    <w:rsid w:val="0015389F"/>
    <w:rsid w:val="001F1010"/>
    <w:rsid w:val="00467A05"/>
    <w:rsid w:val="005A1D93"/>
    <w:rsid w:val="00705BA6"/>
    <w:rsid w:val="0074511A"/>
    <w:rsid w:val="008D7BD9"/>
    <w:rsid w:val="008E0719"/>
    <w:rsid w:val="00954C8F"/>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uiPriority w:val="99"/>
    <w:unhideWhenUsed/>
    <w:pPr>
      <w:spacing w:before="100" w:beforeAutospacing="1" w:after="100" w:afterAutospacing="1"/>
    </w:pPr>
  </w:style>
  <w:style w:type="character" w:styleId="a3">
    <w:name w:val="Strong"/>
    <w:basedOn w:val="a0"/>
    <w:uiPriority w:val="22"/>
    <w:qFormat/>
    <w:rPr>
      <w:b/>
      <w:bCs/>
    </w:rPr>
  </w:style>
  <w:style w:type="paragraph" w:styleId="a4">
    <w:name w:val="header"/>
    <w:basedOn w:val="a"/>
    <w:link w:val="a5"/>
    <w:uiPriority w:val="99"/>
    <w:semiHidden/>
    <w:unhideWhenUsed/>
    <w:rsid w:val="00D47142"/>
    <w:pPr>
      <w:tabs>
        <w:tab w:val="center" w:pos="4677"/>
        <w:tab w:val="right" w:pos="9355"/>
      </w:tabs>
    </w:pPr>
  </w:style>
  <w:style w:type="character" w:customStyle="1" w:styleId="a5">
    <w:name w:val="Верхний колонтитул Знак"/>
    <w:basedOn w:val="a0"/>
    <w:link w:val="a4"/>
    <w:uiPriority w:val="99"/>
    <w:semiHidden/>
    <w:rsid w:val="00D47142"/>
    <w:rPr>
      <w:rFonts w:eastAsia="Times New Roman"/>
      <w:sz w:val="24"/>
      <w:szCs w:val="24"/>
    </w:rPr>
  </w:style>
  <w:style w:type="paragraph" w:styleId="a6">
    <w:name w:val="footer"/>
    <w:basedOn w:val="a"/>
    <w:link w:val="a7"/>
    <w:uiPriority w:val="99"/>
    <w:semiHidden/>
    <w:unhideWhenUsed/>
    <w:rsid w:val="00D47142"/>
    <w:pPr>
      <w:tabs>
        <w:tab w:val="center" w:pos="4677"/>
        <w:tab w:val="right" w:pos="9355"/>
      </w:tabs>
    </w:pPr>
  </w:style>
  <w:style w:type="character" w:customStyle="1" w:styleId="a7">
    <w:name w:val="Нижний колонтитул Знак"/>
    <w:basedOn w:val="a0"/>
    <w:link w:val="a6"/>
    <w:uiPriority w:val="99"/>
    <w:semiHidden/>
    <w:rsid w:val="00D47142"/>
    <w:rPr>
      <w:rFonts w:eastAsia="Times New Roman"/>
      <w:sz w:val="24"/>
      <w:szCs w:val="24"/>
    </w:rPr>
  </w:style>
  <w:style w:type="paragraph" w:styleId="a8">
    <w:name w:val="Balloon Text"/>
    <w:basedOn w:val="a"/>
    <w:link w:val="a9"/>
    <w:uiPriority w:val="99"/>
    <w:semiHidden/>
    <w:unhideWhenUsed/>
    <w:rsid w:val="008D7BD9"/>
    <w:rPr>
      <w:rFonts w:ascii="Segoe UI" w:hAnsi="Segoe UI" w:cs="Segoe UI"/>
      <w:sz w:val="18"/>
      <w:szCs w:val="18"/>
    </w:rPr>
  </w:style>
  <w:style w:type="character" w:customStyle="1" w:styleId="a9">
    <w:name w:val="Текст выноски Знак"/>
    <w:basedOn w:val="a0"/>
    <w:link w:val="a8"/>
    <w:uiPriority w:val="99"/>
    <w:semiHidden/>
    <w:rsid w:val="008D7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USER</cp:lastModifiedBy>
  <cp:revision>2</cp:revision>
  <cp:lastPrinted>2023-04-21T08:35:00Z</cp:lastPrinted>
  <dcterms:created xsi:type="dcterms:W3CDTF">2023-04-21T08:41:00Z</dcterms:created>
  <dcterms:modified xsi:type="dcterms:W3CDTF">2023-04-21T08:41:00Z</dcterms:modified>
</cp:coreProperties>
</file>