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22A95" w14:textId="77777777" w:rsidR="0074511A" w:rsidRDefault="0074511A">
      <w:pPr>
        <w:spacing w:line="276" w:lineRule="auto"/>
        <w:divId w:val="1537622445"/>
      </w:pPr>
    </w:p>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r>
              <w:rPr>
                <w:b/>
                <w:bCs/>
                <w:sz w:val="28"/>
                <w:szCs w:val="28"/>
              </w:rPr>
              <w:t>Третьяковского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2024</w:t>
            </w:r>
            <w:r w:rsidR="0074511A">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77777777" w:rsidR="0074511A" w:rsidRDefault="0074511A">
            <w:pPr>
              <w:pStyle w:val="a3"/>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14:paraId="6EBD965A" w14:textId="77777777" w:rsidR="0074511A" w:rsidRDefault="0074511A">
      <w:pPr>
        <w:spacing w:after="240" w:line="276" w:lineRule="auto"/>
        <w:divId w:val="1537622445"/>
      </w:pPr>
      <w:r>
        <w:br/>
      </w:r>
      <w:r>
        <w:br/>
      </w:r>
    </w:p>
    <w:p w14:paraId="7A3DFD5E" w14:textId="77777777" w:rsidR="0074511A" w:rsidRDefault="0074511A" w:rsidP="008E0719">
      <w:pPr>
        <w:spacing w:before="240" w:after="240" w:line="276" w:lineRule="auto"/>
        <w:jc w:val="center"/>
        <w:divId w:val="223301121"/>
      </w:pPr>
      <w:r>
        <w:rPr>
          <w:rStyle w:val="a4"/>
          <w:sz w:val="28"/>
          <w:szCs w:val="28"/>
        </w:rPr>
        <w:t xml:space="preserve">Промышленное производство </w:t>
      </w:r>
    </w:p>
    <w:p w14:paraId="7967FFEC" w14:textId="0AE79FEA" w:rsidR="0074511A" w:rsidRPr="001F1010" w:rsidRDefault="001F1010" w:rsidP="001F1010">
      <w:pPr>
        <w:spacing w:line="276" w:lineRule="auto"/>
        <w:jc w:val="both"/>
        <w:divId w:val="223301121"/>
      </w:pPr>
      <w:r w:rsidRPr="001F1010">
        <w:t>На территории Третьяковского района действуют два  промышленных предприятия занимающихся обрабатывающим производством: ООО «Третьяковский элеватор» - зернопереработка и ООО «Третьяковский маслосырзавод» - переработка молока. За 2024 год объем отгруженных товаров собственного производства по району составил 2006 млн. рублей, произошло увеличение объема производства на 13,5%. Индекс промышленного производства составил 98,3% к уровню прошлого года. Причина снижения индекса промышленного производства связана с уменьшением объемов производства молочной  продукции, муки ( МСЗ в 1 полугодии закрывался на реконструкцию, элеватор приостановили производство муки из-за плохого качества сырья). Объем промышленного производства на душу населения по итогам 2024 года составляет 200,3 тыс. рублей.</w:t>
      </w:r>
    </w:p>
    <w:p w14:paraId="25D208A8" w14:textId="77777777" w:rsidR="0074511A" w:rsidRDefault="0074511A" w:rsidP="008E0719">
      <w:pPr>
        <w:spacing w:before="240" w:after="240" w:line="276" w:lineRule="auto"/>
        <w:jc w:val="center"/>
        <w:divId w:val="1450320109"/>
      </w:pPr>
      <w:r>
        <w:rPr>
          <w:rStyle w:val="a4"/>
          <w:sz w:val="28"/>
          <w:szCs w:val="28"/>
        </w:rPr>
        <w:t xml:space="preserve">Сельскохозяйственное производство </w:t>
      </w:r>
    </w:p>
    <w:p w14:paraId="53D2D3CA" w14:textId="00E9C93E" w:rsidR="0074511A" w:rsidRPr="008E0719" w:rsidRDefault="00954C8F" w:rsidP="001F1010">
      <w:pPr>
        <w:spacing w:line="276" w:lineRule="auto"/>
        <w:jc w:val="both"/>
        <w:divId w:val="1450320109"/>
      </w:pPr>
      <w:r w:rsidRPr="008E0719">
        <w:t xml:space="preserve">Производством сельскохозяйственной продукции на территории района занимаются 4 коллективных сельскохозяйственных предприятий, 3 - ООО, КФХ и ЛПХ.   По состоянию 01.01.2025 года в сельхозпредприятиях района средняя численность работающих составляет 755 человек (01.01.2024 года - 869 чел). Среднемесячная зарплата на 1 работника в сельскохозяйственных предприятиях составила 41297 рублей., рост заработной платы на 122% к уровню прошлого года. Посевные площади  сельскохозяйственных культур во всех категориях  хозяйств в 2024 году  занимали 73,0 тыс. га, в том числе  зерновые и зернобобовые  культуры - 42,1 тыс., что составило 62% от ярового сева, технические культуры - 19,2 тыс. га, (28%), под кормовыми культурами было отведено 7,0 тыс. га.     Основной возделываемой культурой в районе является пшеница, собрано 37,4 тыс. тонн при урожайности 20,4 ц/га.  Всего зерновых и зернобобовых по итогам 2024 года намолочено 72,6 тыс. тонн, при урожайности 17,3 ц/га (2023г -   8,9 ц/га). Наибольшая  урожайность  зерновых и зернобобовых культур  была получена в ООО «Истоки Алея»- 24,8 ц/га., ООО «Прогресс» - 20,2 ц/га, среди  КФХ  наибольшую урожайность зерновых получена в ИП Мограбян С.Р. - 35,2 ц/га.   Валовый сбор   подсолнечника  по району составил 23,9 тыс. тонн, урожайность которых 16,2 ц/га  (2023г - 11,7 ц/га);  самая высокая  урожайность в  ООО «Прогресс» –20,0 ц/га, среди КФХ наивысшая урожайность подсолнечника в ИП КФХ Мограбян А.С.  - 38,5 ц/га.  Два хозяйства в районе выращивают просо; это СПК колхоз «Алей» - 77 га. и  СПК «Корболиха» -291 га., СПК колхоз «Алей», ООО «Прогресс» и ООО «Перспектива» помимо традиционных культур  выращивают  нут,  кукурузу на зерно. Минеральных удобрений было закуплено </w:t>
      </w:r>
      <w:r w:rsidRPr="008E0719">
        <w:lastRenderedPageBreak/>
        <w:t>на сумму 20,9 млн. руб., внесено 1303 тонн на площади 22,6 тыс. га.   С каждым годом хозяйства района активнее используют интегрированную защиту посевов от болезней, вредителей и сорных растений, 2024 году на эти цели израсходовали 46,8 млн. руб.  Вспахано более 22,0 тыс. га зяби, что составляет около 30% всего ярового сева.    Для зимовки (2024-2025гг.)  в районе заготовлено более 44 ц кормовых единиц из расчета на 1 условную голову.     За прошедший год произошло сокращение стада крупного рогатого скота. Основными причинами такого положения   являются ценовая политика, трудоемкость технологического процесса, дефицит кадров, низкий уровень рентабельности молока и мяса.  Животноводством   в районе занимаются 6 сельхозпредприятий и 1 ИП., в которых на 01.01.2025 года содержится 9525 голов крупного   рогатого скота (минус 32 головы к 2023г), в том числе корова 2683 головы (минус 212 голов к 2023г).  За отчетный период производство молока   составляет 12903 т., это 99,7 % к уровню 2023г., производство скота и птицы на убой - 1125 т. (92,5% к 2023 г.).      В животноводстве в сельскохозяйственных предприятиях обеспечена годовая    продуктивность - 4572 кг. на корову на 106 % выше прошлогоднего периода. Наибольший надой в ООО «Прогресс»- 6072 кг на 1 корову. Существенную долю в валовом производстве сельхозпродукции занимают личные подворья.  За отчетный период личными подсобными хозяйствами произведено около 10,0 тыс. тонн молока.  На территории района организован круглогодовой сбор молока в личных подсобных хозяйства, который охватывает все сельские поселения района.  Закуплено у населения 3747 т. молока. За счет собственных средств и кредитных ресурсов инвестировали в техперевооружение 283,8 млн. руб. для сравнения в 2023г. на эти цели потрачено 156 млн.руб.   По итогам 2024 года сельхозтоваропроизводителями района реализовано продукции, работ и услуг на 1 млрд. 055 млн. руб., по сравнению с аналогичным периодом 2023г. меньше на 8%, себестоимость проданной продукции за 2024 год составила 929,7 млн. руб.  По итогам 2024года сельхозтоваропроизводителями   района была получена чистая прибыль в сумме 146,4 млн. руб, что в 2,3 раза больше, чем в прошлом году, в 2023году составила прибыль 63,0 млн руб. Наивысший уровень рентабельности (44,0%) среди предприятий получен обществом с ограниченной ответственностью «Прогресс». За отчетный год сельхозпредприятиями района было перечислено в бюджеты всех уровней налогов, сборов, обязательных платежей и страховых взносов 193,4 млн.руб., в том числе НДФЛ 48,3 млн.руб..</w:t>
      </w:r>
    </w:p>
    <w:p w14:paraId="5A13D8F4" w14:textId="77777777" w:rsidR="0074511A" w:rsidRDefault="0074511A" w:rsidP="008E0719">
      <w:pPr>
        <w:spacing w:before="240" w:after="240" w:line="276" w:lineRule="auto"/>
        <w:jc w:val="center"/>
        <w:divId w:val="1006633197"/>
      </w:pPr>
      <w:r>
        <w:rPr>
          <w:rStyle w:val="a4"/>
          <w:sz w:val="28"/>
          <w:szCs w:val="28"/>
        </w:rPr>
        <w:t xml:space="preserve">Реализация инвестиционных проектов на территории муниципального района </w:t>
      </w:r>
    </w:p>
    <w:p w14:paraId="5AFDAD4B" w14:textId="4DAB013A" w:rsidR="0074511A" w:rsidRPr="008E0719" w:rsidRDefault="00954C8F" w:rsidP="001F1010">
      <w:pPr>
        <w:spacing w:line="276" w:lineRule="auto"/>
        <w:jc w:val="both"/>
        <w:divId w:val="1006633197"/>
      </w:pPr>
      <w:r w:rsidRPr="00954C8F">
        <w:t xml:space="preserve">Согласно реализации Государственной программы Российской Федерации «Комплексное развитие сельских территорий» на территории Третьяковского района в 2024 году выделена субсидия на строительство индивидуального жилого дома 1 семье. Сумма субсидий составила – 4 149 734 рублей. В 2024 году переведен 1 транш в сумме – 900 000 рублей, остаток суммы будет переведен в 2025 году 2-ым траншем в сумме – 3 249 734 рублей. В дорожном хозяйстве, благодаря средствам федерального, краевого и местного бюджетов, произведен текущий и капитальный ремонт дорог местного значения на сумму 9 538 тыс. рублей.: отремонтирована улично-дорожной сеть в с. Корболиха и  в п. Садовый. Кроме того, Староалейскому сельсовету была предоставлена </w:t>
      </w:r>
      <w:r w:rsidRPr="00954C8F">
        <w:lastRenderedPageBreak/>
        <w:t>субсидия из краевого бюджета в размере 2 378 000 с софинансированием из местного бюджета района в размере 1% от суммы, что составило 24 020 рублей на капитальный ремонт дороги по ул. Калашникова. Кроме того, из местного бюджета Староалейского сельсовета на капитальный ремонт дороги по ул.Калашникова израсходовано 1,9 млн.рублей.         В рамках реализации проекта "Формирование комфортной городской среды" – закончено «Благоустройство мемориального комплекса по ул.Калашникова 38 с.Староалейское», проект осуществлялся в 3 этапа с 2022 по 2024. В 2024 году   3 этап включал в себя: установку видеонаблюдения, благоустройство территории возле Родина Мать. Сумма инвестиций в 2024 году составила около 4 млн.руб. Инициатором и заказчиком данного проекта является Администрация Староалейского сельсовета.   В 2024 году в программе местные инициативы от Третьяковского района принял участие Староалейский сельский совет с проектом «Благоустройство кладбища с.Староалейское»,  сумма инвестиций составила 1,8 млн.рублей.В августе 2024 года начат капитальный ремонт теплосетей котельной №1 с. Староалейское протяженностью 5260 м в однотрубном исчислении. Размер денежных средств на данный проект составляет 61 млн. 901тыс. рублей – это краевой бюджет и местный бюджет - 619010 руб. Контракт заключен на два года. Капитальный ремонт теплосетей котельной №1 с. Староалейское будет завершен в 2025 году.   По программе «Успех каждого ребенка» ремонт спортзала в Екатерининской СОШ, с.Екатерининское: «Ремонт спортивного зала МБОУ «Екатерининская СОШ» Третьяковского района» - Заключен контракт, цена контракт составляет 5409,5 т.руб. Работы закончены.  Капитальный ремонт здания Екатерининского сельского Дома культуры Третьяковского района Алтайского края, расположенный по адресу: Алтайский край, Третьяковский район, с. Екатерининское, ул. Титова, 53 , сумма инвестиций 6256,364 т.р. </w:t>
      </w:r>
    </w:p>
    <w:p w14:paraId="50EDF568" w14:textId="77777777" w:rsidR="0074511A" w:rsidRDefault="0074511A" w:rsidP="008E0719">
      <w:pPr>
        <w:spacing w:before="240" w:after="240" w:line="276" w:lineRule="auto"/>
        <w:jc w:val="center"/>
        <w:divId w:val="672149918"/>
      </w:pPr>
      <w:r>
        <w:rPr>
          <w:rStyle w:val="a4"/>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2ED7AA63" w14:textId="40FFA276" w:rsidR="0074511A" w:rsidRPr="001F1010" w:rsidRDefault="001F1010" w:rsidP="001F1010">
      <w:pPr>
        <w:spacing w:line="276" w:lineRule="auto"/>
        <w:jc w:val="both"/>
        <w:divId w:val="672149918"/>
      </w:pPr>
      <w:r w:rsidRPr="001F1010">
        <w:t xml:space="preserve">  На 01.01.2025 года в реестре субъектов малого и среднего бизнеса числится 192 субъекта. В течении отчетного года проведена работа по предоставлению ин­формации и консультаций субъектам малого и среднего бизнеса по использованию инстру­ментов государственной поддержки, предусмотренной на федеральном, краевом уровнях; предоставлены методические рекомендации и оказана практическая по­мощь по вопросам организации и ведения бизнеса, выбор системы налогообложения, заполнение  заявлений и других документов. Проводятся консультации по реализации товаров, подлежащих обязательной  маркировке (бутилированная вода, одежда, духи, молочная продукция, пиво и т.д.). Вся информация об информационной, имущественной поддержке заносится в программу  АИС «Мониторинг СМП». В декабре проведено обновление аналитических данных  в сфере потребительского рынка. Второй год по инициативе администрации    популяризации предпринимательской деятельности, здорового образа жизни на День предпринимателя проводятся спортивные соревнования (Веселые старты) между командами предпринимателей и администрацией района. При главе района функционирует общественный Совет предпринимателей. В течении года проводились заседания общественного Совета предпринимате­лей, где рассматривались вопросы награждения лучших предпринимателей района, помощи мобилизованным и их семьям, органи­зация праздничных мероприятий ко Дню российского </w:t>
      </w:r>
      <w:r w:rsidRPr="001F1010">
        <w:lastRenderedPageBreak/>
        <w:t>предпринимательства, подведение итогов работы Совета, организация волейбольного турнира на приз предпринимателей и т.д. </w:t>
      </w:r>
    </w:p>
    <w:p w14:paraId="22B05A6E" w14:textId="77777777" w:rsidR="0074511A" w:rsidRDefault="0074511A" w:rsidP="008E0719">
      <w:pPr>
        <w:spacing w:before="240" w:after="240" w:line="276" w:lineRule="auto"/>
        <w:jc w:val="center"/>
        <w:divId w:val="1356543834"/>
      </w:pPr>
      <w:r>
        <w:rPr>
          <w:rStyle w:val="a4"/>
          <w:sz w:val="28"/>
          <w:szCs w:val="28"/>
        </w:rPr>
        <w:t xml:space="preserve">Ситуация на рынке труда </w:t>
      </w:r>
    </w:p>
    <w:p w14:paraId="5F43EFBA" w14:textId="333D0258" w:rsidR="0074511A" w:rsidRPr="008E0719" w:rsidRDefault="00954C8F" w:rsidP="001F1010">
      <w:pPr>
        <w:spacing w:line="276" w:lineRule="auto"/>
        <w:jc w:val="both"/>
        <w:divId w:val="1356543834"/>
      </w:pPr>
      <w:r w:rsidRPr="008E0719">
        <w:t>Общая численность зарегистрированных безработных в районе на 01.01.2025 года – 82 чел. (на 01.01.2024 – 84 человек), уровень безработицы за 2024 год составил – 1,6 % . </w:t>
      </w:r>
    </w:p>
    <w:p w14:paraId="4C50A55C" w14:textId="77777777" w:rsidR="0074511A" w:rsidRDefault="0074511A" w:rsidP="008E0719">
      <w:pPr>
        <w:spacing w:before="240" w:after="240" w:line="276" w:lineRule="auto"/>
        <w:jc w:val="center"/>
        <w:divId w:val="1611469857"/>
      </w:pPr>
      <w:r>
        <w:rPr>
          <w:rStyle w:val="a4"/>
          <w:sz w:val="28"/>
          <w:szCs w:val="28"/>
        </w:rPr>
        <w:t xml:space="preserve">Уровень жизни населения </w:t>
      </w:r>
    </w:p>
    <w:p w14:paraId="79AB0DE7" w14:textId="608B8C54" w:rsidR="0074511A" w:rsidRPr="001F1010" w:rsidRDefault="001F1010" w:rsidP="001F1010">
      <w:pPr>
        <w:spacing w:line="276" w:lineRule="auto"/>
        <w:jc w:val="both"/>
        <w:divId w:val="1611469857"/>
      </w:pPr>
      <w:r w:rsidRPr="001F1010">
        <w:t>Одним из важнейших показателей уровня жизни населения остается заработная плата и своевременность ее получения. По району среднемесячная заработная плата по крупным и средним  организациям составляет  43012 руб., что на 16 % выше 2023 года.Значительную долю в денежных доходах населения занимают пенсии, средний размер пенсии на 01.01.2025 года составил 19409 руб. Численность пенсионеров в районе составляет – 3825 человек.</w:t>
      </w:r>
    </w:p>
    <w:p w14:paraId="3241552C" w14:textId="77777777" w:rsidR="0074511A" w:rsidRDefault="0074511A" w:rsidP="008E0719">
      <w:pPr>
        <w:spacing w:before="240" w:after="240" w:line="276" w:lineRule="auto"/>
        <w:jc w:val="center"/>
        <w:divId w:val="1437944105"/>
      </w:pPr>
      <w:r>
        <w:rPr>
          <w:rStyle w:val="a4"/>
          <w:sz w:val="28"/>
          <w:szCs w:val="28"/>
        </w:rPr>
        <w:t xml:space="preserve">Состояние местных бюджетов </w:t>
      </w:r>
    </w:p>
    <w:p w14:paraId="7070F5ED" w14:textId="24257C2B" w:rsidR="0074511A" w:rsidRPr="008E0719" w:rsidRDefault="00954C8F" w:rsidP="001F1010">
      <w:pPr>
        <w:spacing w:line="276" w:lineRule="auto"/>
        <w:jc w:val="both"/>
        <w:divId w:val="1437944105"/>
      </w:pPr>
      <w:r w:rsidRPr="008E0719">
        <w:t xml:space="preserve">Бюджетная политика в 2024 году была направлена на увеличение налоговых и неналоговых доходов, обеспечение сбалансированности бюджетов, повышение результативности бюджетных расходов, сокращение просроченной кредиторской задолженности.   Консолидированный бюджет по доходам исполнен в сумме 573 млн. рублей, 100%  исполнение к уточненному плану.        Собственные  доходы  составили  163 млн.рублей – 105%  выполнение первоначального плана 2024 года,  116  % рост к факту 2023 года. 63 %  налоговых доходов составляет  налог на доходы физических лиц, по увеличению данного налога  ведется постоянная работа в части легализации заработной платы работающего населения, выводу из «тени» доходов малого бизнеса.   Объем безвозмездных поступлений из краевого бюджета  составил 410 млн. рублей и увеличен к первоначально запланированному бюджету на 61  млн. рублей.       По итогам 2024 года  расходная часть консолидированного бюджета исполнена в сумме 569 млн. рублей или 95 % к уточненному плану и 116 % к бюджету 2023 года.    Расходы бюджета имеют социальную направленность: -расходы на образование составляют –   302 млн.руб. (53 %  в общем объеме расходов); -культуру –  53 млн.руб. (9%); -социальную политику –   17 млн.руб. (3 %); -спорт -  10 млн. руб. (2%); -ЖКХ – 51 млн.руб. (9%); -национальная экономика – 32 млн.руб. (6%).   В  2024 году на финансирование 20 муниципальных программ направлено средств местных бюджетов 57,8 млн. рублей.          На 01.01.2025 года кредиторская задолженность по исполнительным листам составила 123,5 млн.  рублей. В течение года было принято денежных обязательств в сумме 32,2 млн. рублей, решений об уменьшении денежных обязательств в 2024году не было.    Задолженность сложилась по исполнительным листам АО "Алтайэнергосбыт", АО «Алтайкрайэнерго» за электроэнергию,  ООО "Прайм" за уголь, ООО "Алтайводпроект" за проектные работы, ООО "Сибэнергоуголь", госпошлина за уголь перед УФК по Алтайскому краю (ОСП Третьяковского района УФССП России по Алтайскому краю), МУП «Старт» за возмещение понесенных убытков, ООО «Теплоснаб» за отопление,  КАУ "Государственная экспертиза Алтайского края, АО </w:t>
      </w:r>
      <w:r w:rsidRPr="008E0719">
        <w:lastRenderedPageBreak/>
        <w:t>«Алтайское управление водопроводов», Министерства строительства и жилищно-коммунального хозяйства Алтайского края, АО «Алтайская топливная компания» за уголь, ИП Хрулев компенсация за изъятое имущество.   На конец отчетного периода по состоянию на 01.01.2025 общая сумма кредиторской задолженности составила 149,6 млн. рублей, в том числе текущая- 13,8 млн. рублей, просроченная – 135,8 млн. рублей, в том числе долгосрочная – 6 млн. рублей. Задолженность начислена в соответствии с принятыми к учету в декабре отчетного периода счетами, срок по оплате которых еще не наступил; начисленными взносами на фонд оплаты труда за вторую половину декабря; начисленными платежами в бюджет со сроком уплаты в очередном бюджетном периоде. По сравнению с показателями на начало отчетного периода текущая задолженность уменьшилась на 8,8 млн. рублей, или 39%. Долгосрочная задолженность отражает остаток обязательств со сроком погашения более 12 месяцев в соответствии с: соглашением о реструктуризации задолженности с Минстроем Алтайского края в сумме 6 млн. рублей (уменьшение на 50%). По сравнению с показателями на начало отчетного периода просроченная задолженность увеличилась на 25 млн. рублей, или 21,4 % в связи с: принятыми дополнительными расходными обязательствами в порядке солидарной ответственности (по решению суда).</w:t>
      </w:r>
    </w:p>
    <w:p w14:paraId="38976BD3" w14:textId="77777777" w:rsidR="0074511A" w:rsidRDefault="0074511A" w:rsidP="008E0719">
      <w:pPr>
        <w:spacing w:before="240" w:after="240" w:line="276" w:lineRule="auto"/>
        <w:jc w:val="center"/>
        <w:divId w:val="1904366202"/>
      </w:pPr>
      <w:r>
        <w:rPr>
          <w:rStyle w:val="a4"/>
          <w:sz w:val="28"/>
          <w:szCs w:val="28"/>
        </w:rPr>
        <w:t xml:space="preserve">Жилищно-коммунальное хозяйство </w:t>
      </w:r>
    </w:p>
    <w:p w14:paraId="22274C61" w14:textId="7E4CE4F0" w:rsidR="0074511A" w:rsidRPr="009A204F" w:rsidRDefault="001F1010" w:rsidP="001F1010">
      <w:pPr>
        <w:spacing w:line="276" w:lineRule="auto"/>
        <w:jc w:val="both"/>
        <w:divId w:val="1904366202"/>
      </w:pPr>
      <w:r w:rsidRPr="009A204F">
        <w:t>По-прежнему остается напряженной ситуация в жилищно-коммунальном хозяйстве. В районе 16 твердотопливных котельных и топочных. 23 км. теплосетей в двухтрубном исполнении. 40 скважин водоснабжения. 40 км. водопроводных сетей. 1 перекачивающая канализационная станция. 3 км. канализационных сетей. 160 комплексных трансформаторных подстанций (КТП). 577 км. высоковольтных электролиний.</w:t>
      </w:r>
      <w:r>
        <w:rPr>
          <w:lang w:val="en-US"/>
        </w:rPr>
        <w:t> </w:t>
      </w:r>
      <w:r w:rsidRPr="009A204F">
        <w:t>В 2024 году постановлением Администрации Третьяковского района № 271 от 20.09.2024 г. отопительный сезон начат 24.09.2024г. Пробный запуск котельных произведен 22.09.2024 г. Все котельные на территории Третьяковского района введены в эксплуатацию своевременно. 07.11.2024г. наш район второй год подряд получил паспорт готовности к отопительному сезону. Для бесперебойного его прохождения были заключены контракты на поставку угля, а также заключены контракты на поставку материалов для ремонта и замены котельного оборудования.В с. Корболиха произвели капитальный ремонт котельного оборудования и замену котла на сумму 10 млн. 100 тыс. рублей. Так же на котельных Третьяковского района установили 6 отопительных котлов, 7 глубинных насосов, 3 дымососа, заменили 750 м. теплосети, 700 м. водосети).Согласно постановлению Администрации Третьяковского района Алтайского края № 68 от 13.02.2024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Третьяковского района Алтайского края», выплачена населению компенсация в размере:</w:t>
      </w:r>
      <w:r>
        <w:rPr>
          <w:lang w:val="en-US"/>
        </w:rPr>
        <w:t> </w:t>
      </w:r>
      <w:r w:rsidRPr="009A204F">
        <w:t>за уголь - 95 167 руб., за дрова – 47</w:t>
      </w:r>
      <w:r>
        <w:rPr>
          <w:lang w:val="en-US"/>
        </w:rPr>
        <w:t> </w:t>
      </w:r>
      <w:r w:rsidRPr="009A204F">
        <w:t>943 руб., за центральное отопление – 1</w:t>
      </w:r>
      <w:r>
        <w:rPr>
          <w:lang w:val="en-US"/>
        </w:rPr>
        <w:t> </w:t>
      </w:r>
      <w:r w:rsidRPr="009A204F">
        <w:t>906</w:t>
      </w:r>
      <w:r>
        <w:rPr>
          <w:lang w:val="en-US"/>
        </w:rPr>
        <w:t> </w:t>
      </w:r>
      <w:r w:rsidRPr="009A204F">
        <w:t>888 руб.</w:t>
      </w:r>
    </w:p>
    <w:p w14:paraId="58A9E30E" w14:textId="77777777" w:rsidR="0074511A" w:rsidRDefault="0074511A" w:rsidP="008E0719">
      <w:pPr>
        <w:spacing w:before="240" w:after="240" w:line="276" w:lineRule="auto"/>
        <w:jc w:val="center"/>
        <w:divId w:val="1972859180"/>
      </w:pPr>
      <w:r>
        <w:rPr>
          <w:rStyle w:val="a4"/>
          <w:sz w:val="28"/>
          <w:szCs w:val="28"/>
        </w:rPr>
        <w:t xml:space="preserve">Социальная сфера </w:t>
      </w:r>
    </w:p>
    <w:p w14:paraId="0DACE479" w14:textId="592C1628" w:rsidR="0074511A" w:rsidRPr="009A204F" w:rsidRDefault="001F1010" w:rsidP="001F1010">
      <w:pPr>
        <w:spacing w:line="276" w:lineRule="auto"/>
        <w:jc w:val="both"/>
        <w:divId w:val="1972859180"/>
      </w:pPr>
      <w:r w:rsidRPr="009A204F">
        <w:t xml:space="preserve">В районе работает 9 средних школ – юридических лиц (4 казенных 5 бюджетных), 3 филиала средних школ, 3 структурных подразделения в средних школах (дошкольное </w:t>
      </w:r>
      <w:r w:rsidRPr="009A204F">
        <w:lastRenderedPageBreak/>
        <w:t>образование), 1 опорный (бюджетный) детский сад и 5 филиалов, 1 бюджетное учреждение дополнительного образования.</w:t>
      </w:r>
      <w:r>
        <w:rPr>
          <w:lang w:val="en-US"/>
        </w:rPr>
        <w:t> </w:t>
      </w:r>
      <w:r w:rsidRPr="009A204F">
        <w:t>В школах 1513 учащихся, в дошкольном образовании- 375 ребенка (в нашем районе нет очереди в ДОУ, учет всех желающих детей от 2 месяцев до 7 лет проводится в системе АИС «Е-услуги.), в дополнительном образовании 427 детей.</w:t>
      </w:r>
      <w:r>
        <w:rPr>
          <w:lang w:val="en-US"/>
        </w:rPr>
        <w:t> </w:t>
      </w:r>
      <w:r w:rsidRPr="009A204F">
        <w:t>Кадровый педагогический состав:</w:t>
      </w:r>
      <w:r>
        <w:rPr>
          <w:lang w:val="en-US"/>
        </w:rPr>
        <w:t> </w:t>
      </w:r>
      <w:r w:rsidRPr="009A204F">
        <w:t>2024 г.- педагогических работников в общеобразовательных организациях - 150, педагогов дополнительного образования - 7, воспитателей в детсадах -25.</w:t>
      </w:r>
      <w:r>
        <w:rPr>
          <w:lang w:val="en-US"/>
        </w:rPr>
        <w:t> </w:t>
      </w:r>
      <w:r w:rsidRPr="009A204F">
        <w:t>- 67 % учителей имеют высшее образование, среднее профессиональное - 33%,</w:t>
      </w:r>
      <w:r>
        <w:rPr>
          <w:lang w:val="en-US"/>
        </w:rPr>
        <w:t> </w:t>
      </w:r>
      <w:r w:rsidRPr="009A204F">
        <w:t>- молодых педагогов в возрасте до 35 лет- 6,4 %.</w:t>
      </w:r>
      <w:r>
        <w:rPr>
          <w:lang w:val="en-US"/>
        </w:rPr>
        <w:t> </w:t>
      </w:r>
      <w:r w:rsidRPr="009A204F">
        <w:t>- старше пенсионного возраста – 27,4%.</w:t>
      </w:r>
      <w:r>
        <w:rPr>
          <w:lang w:val="en-US"/>
        </w:rPr>
        <w:t> </w:t>
      </w:r>
      <w:r w:rsidRPr="009A204F">
        <w:t>Средняя заработная плата: общее образование - 40669,4 руб. (учителей 49013,9 руб.), дошкольное образование 29154,5 руб. (воспитателей 39165,08 руб.), дополнительное образование 21378,4 руб. (педагоги 23492,10 руб.).</w:t>
      </w:r>
      <w:r>
        <w:rPr>
          <w:lang w:val="en-US"/>
        </w:rPr>
        <w:t> </w:t>
      </w:r>
      <w:r w:rsidRPr="009A204F">
        <w:t xml:space="preserve">В рамках районной программы «Педагогические кадры»: выплачивается компенсация аренды жилья из средств местного бюджета 2 учителям («Екатерининская СОШ», «Корболихинская СОШ»). Сумма компенсации составила 96 тыс. рублей. Разовую муниципальную материальную поддержку по постановлению главы района – 25 и 15 тыс. руб. (высшее и среднее профессиональное образование) в 2024 году получили 2 специалиста со среднем профессиональным образованием, 1 специалист с высшем профессиональным образованием. Вакансии традиционно закрываются путем перераспределения нагрузки, привлечения педагогов – ветеранов, прохождением профессиональной переподготовки, используется сетевое взаимодействие (Шипуниха – Первокаменка (физика, химия, английский и немецкий язык). Проведен муниципальный конкурс «Учитель года – 2025» (победитель Корболихинская СОШ, призеры Екатерининская СОШ, Староалейская СОШ №1), в заочном этапе регионального конкурса «Учитель года Алтая – 2025» приняла участие </w:t>
      </w:r>
      <w:r>
        <w:rPr>
          <w:lang w:val="en-US"/>
        </w:rPr>
        <w:t> </w:t>
      </w:r>
      <w:r w:rsidRPr="009A204F">
        <w:t>и вошла в финал Оксана Васильевна Тарасова - учитель биологии и химии Корболихинской школы.</w:t>
      </w:r>
      <w:r>
        <w:rPr>
          <w:lang w:val="en-US"/>
        </w:rPr>
        <w:t> </w:t>
      </w:r>
      <w:r w:rsidRPr="009A204F">
        <w:t>На ежедневные занятия осуществлялся подвоз 88 школьников из 7 сел в 6 школах.</w:t>
      </w:r>
      <w:r>
        <w:rPr>
          <w:lang w:val="en-US"/>
        </w:rPr>
        <w:t> </w:t>
      </w:r>
      <w:r w:rsidRPr="009A204F">
        <w:t xml:space="preserve"> Средства местного бюджета выделяются в необходимом объёме на техосмотр, страховку, ГСМ и текущее обслуживание школьных автобусов.Согласно</w:t>
      </w:r>
      <w:r>
        <w:rPr>
          <w:lang w:val="en-US"/>
        </w:rPr>
        <w:t> </w:t>
      </w:r>
      <w:r w:rsidRPr="009A204F">
        <w:t xml:space="preserve"> поручения </w:t>
      </w:r>
      <w:r>
        <w:rPr>
          <w:lang w:val="en-US"/>
        </w:rPr>
        <w:t> </w:t>
      </w:r>
      <w:r w:rsidRPr="009A204F">
        <w:t xml:space="preserve">Президента </w:t>
      </w:r>
      <w:r>
        <w:rPr>
          <w:lang w:val="en-US"/>
        </w:rPr>
        <w:t> </w:t>
      </w:r>
      <w:r w:rsidRPr="009A204F">
        <w:t>РФ</w:t>
      </w:r>
      <w:r>
        <w:rPr>
          <w:lang w:val="en-US"/>
        </w:rPr>
        <w:t> </w:t>
      </w:r>
      <w:r w:rsidRPr="009A204F">
        <w:t xml:space="preserve"> в</w:t>
      </w:r>
      <w:r>
        <w:rPr>
          <w:lang w:val="en-US"/>
        </w:rPr>
        <w:t> </w:t>
      </w:r>
      <w:r w:rsidRPr="009A204F">
        <w:t xml:space="preserve"> каждом</w:t>
      </w:r>
      <w:r>
        <w:rPr>
          <w:lang w:val="en-US"/>
        </w:rPr>
        <w:t> </w:t>
      </w:r>
      <w:r w:rsidRPr="009A204F">
        <w:t xml:space="preserve"> образовательном</w:t>
      </w:r>
      <w:r>
        <w:rPr>
          <w:lang w:val="en-US"/>
        </w:rPr>
        <w:t> </w:t>
      </w:r>
      <w:r w:rsidRPr="009A204F">
        <w:t xml:space="preserve"> учреждении с целью</w:t>
      </w:r>
      <w:r>
        <w:rPr>
          <w:lang w:val="en-US"/>
        </w:rPr>
        <w:t> </w:t>
      </w:r>
      <w:r w:rsidRPr="009A204F">
        <w:t xml:space="preserve"> воспитания подрастающего </w:t>
      </w:r>
      <w:r>
        <w:rPr>
          <w:lang w:val="en-US"/>
        </w:rPr>
        <w:t> </w:t>
      </w:r>
      <w:r w:rsidRPr="009A204F">
        <w:t>поколения</w:t>
      </w:r>
      <w:r>
        <w:rPr>
          <w:lang w:val="en-US"/>
        </w:rPr>
        <w:t> </w:t>
      </w:r>
      <w:r w:rsidRPr="009A204F">
        <w:t xml:space="preserve"> в</w:t>
      </w:r>
      <w:r>
        <w:rPr>
          <w:lang w:val="en-US"/>
        </w:rPr>
        <w:t> </w:t>
      </w:r>
      <w:r w:rsidRPr="009A204F">
        <w:t xml:space="preserve"> различных видах</w:t>
      </w:r>
      <w:r>
        <w:rPr>
          <w:lang w:val="en-US"/>
        </w:rPr>
        <w:t> </w:t>
      </w:r>
      <w:r w:rsidRPr="009A204F">
        <w:t xml:space="preserve"> деятельности </w:t>
      </w:r>
      <w:r>
        <w:rPr>
          <w:lang w:val="en-US"/>
        </w:rPr>
        <w:t>  </w:t>
      </w:r>
      <w:r w:rsidRPr="009A204F">
        <w:t>созданы</w:t>
      </w:r>
      <w:r>
        <w:rPr>
          <w:lang w:val="en-US"/>
        </w:rPr>
        <w:t> </w:t>
      </w:r>
      <w:r w:rsidRPr="009A204F">
        <w:t xml:space="preserve"> школьные спортивные клубы, школьные</w:t>
      </w:r>
      <w:r>
        <w:rPr>
          <w:lang w:val="en-US"/>
        </w:rPr>
        <w:t> </w:t>
      </w:r>
      <w:r w:rsidRPr="009A204F">
        <w:t xml:space="preserve"> музеи, театры и театральные</w:t>
      </w:r>
      <w:r>
        <w:rPr>
          <w:lang w:val="en-US"/>
        </w:rPr>
        <w:t> </w:t>
      </w:r>
      <w:r w:rsidRPr="009A204F">
        <w:t xml:space="preserve"> кружки.</w:t>
      </w:r>
      <w:r>
        <w:rPr>
          <w:lang w:val="en-US"/>
        </w:rPr>
        <w:t> </w:t>
      </w:r>
      <w:r w:rsidRPr="009A204F">
        <w:t>В 2024 году проведено 4 пришкольных оздоровительных лагеря с дневным пребыванием детей, в которых отдохнуло 88 ребенка. В общеобразовательных</w:t>
      </w:r>
      <w:r>
        <w:rPr>
          <w:lang w:val="en-US"/>
        </w:rPr>
        <w:t> </w:t>
      </w:r>
      <w:r w:rsidRPr="009A204F">
        <w:t xml:space="preserve"> учреждениях проводились профильные смены «Досуговая площадка» - в которых</w:t>
      </w:r>
      <w:r>
        <w:rPr>
          <w:lang w:val="en-US"/>
        </w:rPr>
        <w:t> </w:t>
      </w:r>
      <w:r w:rsidRPr="009A204F">
        <w:t xml:space="preserve"> было</w:t>
      </w:r>
      <w:r>
        <w:rPr>
          <w:lang w:val="en-US"/>
        </w:rPr>
        <w:t> </w:t>
      </w:r>
      <w:r w:rsidRPr="009A204F">
        <w:t xml:space="preserve"> занято</w:t>
      </w:r>
      <w:r>
        <w:rPr>
          <w:lang w:val="en-US"/>
        </w:rPr>
        <w:t> </w:t>
      </w:r>
      <w:r w:rsidRPr="009A204F">
        <w:t xml:space="preserve"> 174 ребенка. Дети из образовательных учреждений</w:t>
      </w:r>
      <w:r>
        <w:rPr>
          <w:lang w:val="en-US"/>
        </w:rPr>
        <w:t> </w:t>
      </w:r>
      <w:r w:rsidRPr="009A204F">
        <w:t xml:space="preserve"> отдыхали в краевых летних оздорови-тельных лагерях</w:t>
      </w:r>
      <w:r>
        <w:rPr>
          <w:lang w:val="en-US"/>
        </w:rPr>
        <w:t> </w:t>
      </w:r>
      <w:r w:rsidRPr="009A204F">
        <w:t xml:space="preserve"> - это 36 обучающихся.Новогодние подарки за счет краевого бюджета получили все </w:t>
      </w:r>
      <w:r>
        <w:rPr>
          <w:lang w:val="en-US"/>
        </w:rPr>
        <w:t> </w:t>
      </w:r>
      <w:r w:rsidRPr="009A204F">
        <w:t>учащиеся 1-4 классов общеобразовательных учреждений, за счет средств муниципального бюджета учащиеся 5,6 классов, проведена</w:t>
      </w:r>
      <w:r>
        <w:rPr>
          <w:lang w:val="en-US"/>
        </w:rPr>
        <w:t> </w:t>
      </w:r>
      <w:r w:rsidRPr="009A204F">
        <w:t xml:space="preserve"> благотворительная елка главы района для</w:t>
      </w:r>
      <w:r>
        <w:rPr>
          <w:lang w:val="en-US"/>
        </w:rPr>
        <w:t> </w:t>
      </w:r>
      <w:r w:rsidRPr="009A204F">
        <w:t xml:space="preserve"> детей-инвалидов и детей, находящихся под опекой, подарки выданы индивидуально каждому ребенку.Правительство Алтайского края</w:t>
      </w:r>
      <w:r>
        <w:rPr>
          <w:lang w:val="en-US"/>
        </w:rPr>
        <w:t> </w:t>
      </w:r>
      <w:r w:rsidRPr="009A204F">
        <w:t xml:space="preserve"> выплатило</w:t>
      </w:r>
      <w:r>
        <w:rPr>
          <w:lang w:val="en-US"/>
        </w:rPr>
        <w:t> </w:t>
      </w:r>
      <w:r w:rsidRPr="009A204F">
        <w:t xml:space="preserve"> единовременные денежные средства 14 отличникам из многодетных семей, 20 учеников получили стипендии главы администрации района.</w:t>
      </w:r>
      <w:r>
        <w:rPr>
          <w:lang w:val="en-US"/>
        </w:rPr>
        <w:t> </w:t>
      </w:r>
      <w:r w:rsidRPr="009A204F">
        <w:t xml:space="preserve">Размер родительской платы за присмотр и уход в дошкольных учреждениях в 2024 г. </w:t>
      </w:r>
      <w:r>
        <w:rPr>
          <w:lang w:val="en-US"/>
        </w:rPr>
        <w:t> </w:t>
      </w:r>
      <w:r w:rsidRPr="009A204F">
        <w:t>составил 2000 рублей. 6 детей, находящихся под опекой, посещают детский сад без взимания платы.</w:t>
      </w:r>
      <w:r>
        <w:rPr>
          <w:lang w:val="en-US"/>
        </w:rPr>
        <w:t> </w:t>
      </w:r>
      <w:r w:rsidRPr="009A204F">
        <w:t>В 2024 году по постановлениям главы</w:t>
      </w:r>
      <w:r>
        <w:rPr>
          <w:lang w:val="en-US"/>
        </w:rPr>
        <w:t> </w:t>
      </w:r>
      <w:r w:rsidRPr="009A204F">
        <w:t xml:space="preserve"> района</w:t>
      </w:r>
      <w:r>
        <w:rPr>
          <w:lang w:val="en-US"/>
        </w:rPr>
        <w:t> </w:t>
      </w:r>
      <w:r w:rsidRPr="009A204F">
        <w:t xml:space="preserve"> предусмотрены и оказываются</w:t>
      </w:r>
      <w:r>
        <w:rPr>
          <w:lang w:val="en-US"/>
        </w:rPr>
        <w:t> </w:t>
      </w:r>
      <w:r w:rsidRPr="009A204F">
        <w:t xml:space="preserve"> льготы</w:t>
      </w:r>
      <w:r>
        <w:rPr>
          <w:lang w:val="en-US"/>
        </w:rPr>
        <w:t> </w:t>
      </w:r>
      <w:r w:rsidRPr="009A204F">
        <w:t xml:space="preserve"> семьям </w:t>
      </w:r>
      <w:r w:rsidRPr="009A204F">
        <w:lastRenderedPageBreak/>
        <w:t xml:space="preserve">мобилизованных </w:t>
      </w:r>
      <w:r>
        <w:rPr>
          <w:lang w:val="en-US"/>
        </w:rPr>
        <w:t> </w:t>
      </w:r>
      <w:r w:rsidRPr="009A204F">
        <w:t>граждан, находящимся в зоне</w:t>
      </w:r>
      <w:r>
        <w:rPr>
          <w:lang w:val="en-US"/>
        </w:rPr>
        <w:t> </w:t>
      </w:r>
      <w:r w:rsidRPr="009A204F">
        <w:t xml:space="preserve"> СВО: освобождены</w:t>
      </w:r>
      <w:r>
        <w:rPr>
          <w:lang w:val="en-US"/>
        </w:rPr>
        <w:t> </w:t>
      </w:r>
      <w:r w:rsidRPr="009A204F">
        <w:t xml:space="preserve"> от оплаты</w:t>
      </w:r>
      <w:r>
        <w:rPr>
          <w:lang w:val="en-US"/>
        </w:rPr>
        <w:t> </w:t>
      </w:r>
      <w:r w:rsidRPr="009A204F">
        <w:t xml:space="preserve"> за детский</w:t>
      </w:r>
      <w:r>
        <w:rPr>
          <w:lang w:val="en-US"/>
        </w:rPr>
        <w:t> </w:t>
      </w:r>
      <w:r w:rsidRPr="009A204F">
        <w:t xml:space="preserve"> сад – 19 детей, бесплатное</w:t>
      </w:r>
      <w:r>
        <w:rPr>
          <w:lang w:val="en-US"/>
        </w:rPr>
        <w:t> </w:t>
      </w:r>
      <w:r w:rsidRPr="009A204F">
        <w:t xml:space="preserve"> питание предоставляется 33 учащимся</w:t>
      </w:r>
      <w:r>
        <w:rPr>
          <w:lang w:val="en-US"/>
        </w:rPr>
        <w:t> </w:t>
      </w:r>
      <w:r w:rsidRPr="009A204F">
        <w:t xml:space="preserve"> общеобразовательных учреждений.Государственная итоговая аттестация прошла штатно. В проведении был задействован 1 пункт проведения МБОУ «Староалейская СОШ №1», 22 аккредитованных общественных наблюдателя. В ЕГЭ участвовало-37 выпускников. 33 выпускника получили аттестат о среднем общем образовании. 4 выпускника получили аттестат с отличием: из них три получили награду «За особые успехи в учении» - первой степени, а один выпускник - второй степени.Содержание зданий образовательных учреждений самая затратная статья бюджета района, она предусматривает средства как на капитальный ремонт так и на текущий ремонт, в 2024 году на текущий ремонт образовательным организациям было выделено 60 тыс. рублей.Медицинская помощь населению района оказывается КГБУЗ «Староалейская ЦРБ» с круглосуточным стационаром на 38 коек, дневным стационаром на 20 коек, 1 врачебной амбулаторией и 15 ФАПами.В здравоохранении трудится 163 человека, из них 16 врачей, 78 средних медработника и 69 человек прочего персонала.Обеспеченность врачами составила 15,9 </w:t>
      </w:r>
      <w:r>
        <w:rPr>
          <w:lang w:val="en-US"/>
        </w:rPr>
        <w:t> </w:t>
      </w:r>
      <w:r w:rsidRPr="009A204F">
        <w:t>человек на 10 тыс. населения (целевой показатель 21), обеспеченность средними медработниками 77,3 человек на 10 тыс. населения (целевой показатель 89).Уровень общей заболеваемости</w:t>
      </w:r>
      <w:r>
        <w:rPr>
          <w:lang w:val="en-US"/>
        </w:rPr>
        <w:t> </w:t>
      </w:r>
      <w:r w:rsidRPr="009A204F">
        <w:t xml:space="preserve"> на одну тысячу населения составил – 443,4 случаев. Занятость круглосуточной койки 149, средний срок лечения 9 дней. Стоимость лечения в стационаре 1 койко-дня 2780 руб. (в 2023 году – 2527 руб.). Лечение 1 больного 22395 рублей. (в 2023 году – 21769 руб.).По диспансеризации взрослого населения осмотрено 3460</w:t>
      </w:r>
      <w:r>
        <w:rPr>
          <w:lang w:val="en-US"/>
        </w:rPr>
        <w:t> </w:t>
      </w:r>
      <w:r w:rsidRPr="009A204F">
        <w:t xml:space="preserve"> человек, что составило 76,19 % от плана, профилактический осмотр прошли 630 человек.В сентябре 2024 года введен в эксплуатацию цифровой флюорограф ФЦ «ОКО», подключен к региональному фонду медицинских изображений.</w:t>
      </w:r>
      <w:r>
        <w:rPr>
          <w:lang w:val="en-US"/>
        </w:rPr>
        <w:t>        </w:t>
      </w:r>
      <w:r w:rsidRPr="009A204F">
        <w:t xml:space="preserve"> В</w:t>
      </w:r>
      <w:r>
        <w:rPr>
          <w:lang w:val="en-US"/>
        </w:rPr>
        <w:t> </w:t>
      </w:r>
      <w:r w:rsidRPr="009A204F">
        <w:t xml:space="preserve"> 2024 году организацией культурного досуга в Третьяковском районе</w:t>
      </w:r>
      <w:r>
        <w:rPr>
          <w:lang w:val="en-US"/>
        </w:rPr>
        <w:t> </w:t>
      </w:r>
      <w:r w:rsidRPr="009A204F">
        <w:t xml:space="preserve"> занимались 14 клубных учреждений; 12 библиотек района, детская музыкальная школа и «Историко-краеведческий музей Третьяковского района».В 2024 году услуги населению Третьяковского района предоставлял МБУК «МфКЦ», в который вошли 10 филиалов сельских Домов культуры и 3 сельских клуба. В</w:t>
      </w:r>
      <w:r>
        <w:rPr>
          <w:lang w:val="en-US"/>
        </w:rPr>
        <w:t> </w:t>
      </w:r>
      <w:r w:rsidRPr="009A204F">
        <w:t xml:space="preserve"> учреждениях культуры района работает 68 человек, средняя заработная плата составляет 39163 руб. В 2024 году провели 22</w:t>
      </w:r>
      <w:r>
        <w:rPr>
          <w:lang w:val="en-US"/>
        </w:rPr>
        <w:t> </w:t>
      </w:r>
      <w:r w:rsidRPr="009A204F">
        <w:t xml:space="preserve"> районных мероприятия.В 2024 году пользователями библиотек стали 9746 чел. (2023 - 9317 чел.). </w:t>
      </w:r>
      <w:r>
        <w:rPr>
          <w:lang w:val="en-US"/>
        </w:rPr>
        <w:t> </w:t>
      </w:r>
      <w:r w:rsidRPr="009A204F">
        <w:t>Из них детей (до 14 лет) 2742 чел. (2023 – 2741 чел.).</w:t>
      </w:r>
      <w:r>
        <w:rPr>
          <w:lang w:val="en-US"/>
        </w:rPr>
        <w:t> </w:t>
      </w:r>
      <w:r w:rsidRPr="009A204F">
        <w:t xml:space="preserve">Количество посещений: 211899 раз читатели посетили библиотеки (2023 - 151199). </w:t>
      </w:r>
      <w:r>
        <w:rPr>
          <w:lang w:val="en-US"/>
        </w:rPr>
        <w:t>        </w:t>
      </w:r>
      <w:r w:rsidRPr="009A204F">
        <w:t xml:space="preserve"> Количество посещений мероприятий – 43938.Процент обслуживания населения района библиотеками составил - 96,5%.Читателям выдано 250949 экз. различного вида документов (2023 – 213851 экз.), из них детям (до 14 лет) выдано 103374 экз. (2023 – 91296 экз.). </w:t>
      </w:r>
      <w:r>
        <w:rPr>
          <w:lang w:val="en-US"/>
        </w:rPr>
        <w:t>  </w:t>
      </w:r>
      <w:r w:rsidRPr="009A204F">
        <w:t xml:space="preserve"> Общий объём библиотечного фонда общедоступных библиотек района по состоянию на 01.01.2025 г. 139524 экземпляров.На территории района работает одна спортивная организация Муниципальное бюджетное учреждение дополнительного образования «Спортивная школа им. Олимпийского чемпиона С.П. Тарасова» Третьяковского района.</w:t>
      </w:r>
      <w:r>
        <w:rPr>
          <w:lang w:val="en-US"/>
        </w:rPr>
        <w:t> </w:t>
      </w:r>
      <w:r w:rsidRPr="009A204F">
        <w:t>Кадровое обеспечение района составляет:</w:t>
      </w:r>
      <w:r>
        <w:rPr>
          <w:lang w:val="en-US"/>
        </w:rPr>
        <w:t> </w:t>
      </w:r>
      <w:r w:rsidRPr="009A204F">
        <w:t>- 4 единицы спортивной школы и плюс тренеры-преподаватели по совместительству 6 человек,</w:t>
      </w:r>
      <w:r>
        <w:rPr>
          <w:lang w:val="en-US"/>
        </w:rPr>
        <w:t> </w:t>
      </w:r>
      <w:r w:rsidRPr="009A204F">
        <w:t>- 15 единиц в образовательных организациях и 2 единицы в дошкольных образовательных организациях.</w:t>
      </w:r>
      <w:r>
        <w:rPr>
          <w:lang w:val="en-US"/>
        </w:rPr>
        <w:t> </w:t>
      </w:r>
      <w:r w:rsidRPr="009A204F">
        <w:t xml:space="preserve">Из всего кадрового состава 14 человек имеют - высшее образование, 14 человек - среднее специальное образование.В спортивной школе на постоянной основе занимается 294 человека, в процентном </w:t>
      </w:r>
      <w:r w:rsidRPr="009A204F">
        <w:lastRenderedPageBreak/>
        <w:t>соотношении 19,7% от общего количества учащихся школ района. Отделения спортивной школы, помимо районного центра, есть в селе Корболиха и ст. Третьяково.В 9 школах созданы спортивные клубы, их посещают – 896 человек, что составляет 60,0 % учащихся.</w:t>
      </w:r>
      <w:r>
        <w:rPr>
          <w:lang w:val="en-US"/>
        </w:rPr>
        <w:t> </w:t>
      </w:r>
      <w:r w:rsidRPr="009A204F">
        <w:t xml:space="preserve">В 2024 году Третьяковский район принял участие в двух Всероссийских проектах: </w:t>
      </w:r>
      <w:r>
        <w:rPr>
          <w:lang w:val="en-US"/>
        </w:rPr>
        <w:t>        </w:t>
      </w:r>
      <w:r w:rsidRPr="009A204F">
        <w:t xml:space="preserve"> - «Северная ходьба – новый образ жизни»;</w:t>
      </w:r>
      <w:r>
        <w:rPr>
          <w:lang w:val="en-US"/>
        </w:rPr>
        <w:t>  </w:t>
      </w:r>
      <w:r w:rsidRPr="009A204F">
        <w:t xml:space="preserve"> </w:t>
      </w:r>
      <w:r>
        <w:rPr>
          <w:lang w:val="en-US"/>
        </w:rPr>
        <w:t> </w:t>
      </w:r>
      <w:r w:rsidRPr="009A204F">
        <w:t>- «Каждому муниципалитету – умный маршрут здоровья».</w:t>
      </w:r>
      <w:r>
        <w:rPr>
          <w:lang w:val="en-US"/>
        </w:rPr>
        <w:t> </w:t>
      </w:r>
      <w:r w:rsidRPr="009A204F">
        <w:t>По результатам участия в проекте «Северная ходьба – новый образ жизни» нашему району на безвозмездной основе переданы палки для северной ходьбы в количестве 30 пар. С данным видом активности были ознакомлены жители с. Староалейское, с. Корболиха, п. Садовый, с. Екатерининское, где были проведены открытые тренировки и мастер классы.</w:t>
      </w:r>
      <w:r>
        <w:rPr>
          <w:lang w:val="en-US"/>
        </w:rPr>
        <w:t>  </w:t>
      </w:r>
      <w:r w:rsidRPr="009A204F">
        <w:t>Участвуя в проекте «Каждому муниципалитету – умный маршрут здоровья»:</w:t>
      </w:r>
      <w:r>
        <w:rPr>
          <w:lang w:val="en-US"/>
        </w:rPr>
        <w:t> </w:t>
      </w:r>
      <w:r w:rsidRPr="009A204F">
        <w:t>- на безвозмездной основе прошли обучение 3 человека, получив сертификаты инструкторов ЗОЖ,</w:t>
      </w:r>
      <w:r>
        <w:rPr>
          <w:lang w:val="en-US"/>
        </w:rPr>
        <w:t> </w:t>
      </w:r>
      <w:r w:rsidRPr="009A204F">
        <w:t>- разработан маршрут здоровья, протяженностью 7 000 метров, который занесен в Единый Реестр Маршрутов здоровья РФ и ему присвоен идентификационный номер.</w:t>
      </w:r>
      <w:r>
        <w:rPr>
          <w:lang w:val="en-US"/>
        </w:rPr>
        <w:t> </w:t>
      </w:r>
      <w:r w:rsidRPr="009A204F">
        <w:t xml:space="preserve">на маршруте здоровья установлены антивандальные таблички с </w:t>
      </w:r>
      <w:r>
        <w:rPr>
          <w:lang w:val="en-US"/>
        </w:rPr>
        <w:t>QR</w:t>
      </w:r>
      <w:r w:rsidRPr="009A204F">
        <w:t>-кодами (на старте, середине маршрута, финише), сканировав которые можно получить рекомендации спортивного направления.</w:t>
      </w:r>
      <w:r>
        <w:rPr>
          <w:lang w:val="en-US"/>
        </w:rPr>
        <w:t> </w:t>
      </w:r>
      <w:r w:rsidRPr="009A204F">
        <w:t>- проведена акция «10 000 шагов к жизни», собравшая около 150 человек, которые прошли по маршруту здоровья в сопровождении инструкторов ЗОЖ.</w:t>
      </w:r>
      <w:r>
        <w:rPr>
          <w:lang w:val="en-US"/>
        </w:rPr>
        <w:t> </w:t>
      </w:r>
      <w:r w:rsidRPr="009A204F">
        <w:t>- заключительный этап проекта – это соревнования по фоновой ходьбе, в которых приняло участие 47 команд из различных субъектов РФ. Команда Третьяковского района заняла 12-е место.Всего в 2024 году спортсмены нашего района приняли участие в 35 проводимых соревнованиях различного уровня. На территории муниципального района проведено 25 различных физкультурно-спортивных и оздоровительных мероприятий.Все спортивные мероприятия освещаются в местной газете «Третьяковский вестник», а также можно прочесть информацию на сайте Администрации района.</w:t>
      </w:r>
    </w:p>
    <w:p w14:paraId="3CC5AB28" w14:textId="77777777"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906"/>
        <w:gridCol w:w="1860"/>
        <w:gridCol w:w="4174"/>
      </w:tblGrid>
      <w:tr w:rsidR="009A204F" w14:paraId="2AB2A4E2" w14:textId="77777777" w:rsidTr="008E0719">
        <w:trPr>
          <w:divId w:val="1191646061"/>
          <w:tblCellSpacing w:w="15" w:type="dxa"/>
          <w:jc w:val="right"/>
        </w:trPr>
        <w:tc>
          <w:tcPr>
            <w:tcW w:w="0" w:type="auto"/>
            <w:vAlign w:val="center"/>
            <w:hideMark/>
          </w:tcPr>
          <w:p w14:paraId="08282061" w14:textId="77777777" w:rsidR="009A204F" w:rsidRDefault="009A204F" w:rsidP="008E0719">
            <w:pPr>
              <w:spacing w:line="276" w:lineRule="auto"/>
              <w:jc w:val="right"/>
              <w:rPr>
                <w:sz w:val="28"/>
                <w:szCs w:val="28"/>
              </w:rPr>
            </w:pPr>
            <w:r>
              <w:rPr>
                <w:sz w:val="28"/>
                <w:szCs w:val="28"/>
              </w:rPr>
              <w:t>Заместитель г</w:t>
            </w:r>
            <w:r w:rsidR="001F1010">
              <w:rPr>
                <w:sz w:val="28"/>
                <w:szCs w:val="28"/>
                <w:lang w:val="en-US"/>
              </w:rPr>
              <w:t>лав</w:t>
            </w:r>
            <w:r>
              <w:rPr>
                <w:sz w:val="28"/>
                <w:szCs w:val="28"/>
              </w:rPr>
              <w:t xml:space="preserve">ы </w:t>
            </w:r>
          </w:p>
          <w:p w14:paraId="0643F607" w14:textId="38E6C534" w:rsidR="0074511A" w:rsidRPr="009A204F" w:rsidRDefault="009A204F" w:rsidP="008E0719">
            <w:pPr>
              <w:spacing w:line="276" w:lineRule="auto"/>
              <w:jc w:val="right"/>
              <w:rPr>
                <w:sz w:val="28"/>
                <w:szCs w:val="28"/>
              </w:rPr>
            </w:pPr>
            <w:r>
              <w:rPr>
                <w:sz w:val="28"/>
                <w:szCs w:val="28"/>
              </w:rPr>
              <w:t xml:space="preserve">Администрации района </w:t>
            </w:r>
          </w:p>
        </w:tc>
        <w:tc>
          <w:tcPr>
            <w:tcW w:w="0" w:type="auto"/>
            <w:vAlign w:val="bottom"/>
            <w:hideMark/>
          </w:tcPr>
          <w:p w14:paraId="78420B82" w14:textId="485116EE" w:rsidR="0074511A" w:rsidRDefault="0074511A">
            <w:r>
              <w:t>_________</w:t>
            </w:r>
            <w:r w:rsidR="000B6422">
              <w:t>_____</w:t>
            </w:r>
            <w:bookmarkStart w:id="0" w:name="_GoBack"/>
            <w:bookmarkEnd w:id="0"/>
            <w:r>
              <w:t>_</w:t>
            </w:r>
          </w:p>
        </w:tc>
        <w:tc>
          <w:tcPr>
            <w:tcW w:w="0" w:type="auto"/>
            <w:vAlign w:val="bottom"/>
            <w:hideMark/>
          </w:tcPr>
          <w:p w14:paraId="18C0776F" w14:textId="6E248DDF" w:rsidR="0074511A" w:rsidRPr="009A204F" w:rsidRDefault="009A204F">
            <w:pPr>
              <w:spacing w:line="276" w:lineRule="auto"/>
              <w:rPr>
                <w:sz w:val="28"/>
                <w:szCs w:val="28"/>
              </w:rPr>
            </w:pPr>
            <w:r>
              <w:rPr>
                <w:sz w:val="28"/>
                <w:szCs w:val="28"/>
              </w:rPr>
              <w:t>Гамалеева Наталья Владимировна</w:t>
            </w:r>
          </w:p>
        </w:tc>
      </w:tr>
      <w:tr w:rsidR="009A204F" w14:paraId="7CE077F3" w14:textId="77777777" w:rsidTr="008E0719">
        <w:trPr>
          <w:divId w:val="1191646061"/>
          <w:tblCellSpacing w:w="15" w:type="dxa"/>
          <w:jc w:val="right"/>
        </w:trPr>
        <w:tc>
          <w:tcPr>
            <w:tcW w:w="0" w:type="auto"/>
            <w:vAlign w:val="center"/>
            <w:hideMark/>
          </w:tcPr>
          <w:p w14:paraId="226C377D" w14:textId="77777777" w:rsidR="0074511A" w:rsidRDefault="0074511A">
            <w:r>
              <w:t> </w:t>
            </w:r>
          </w:p>
        </w:tc>
        <w:tc>
          <w:tcPr>
            <w:tcW w:w="0" w:type="auto"/>
            <w:hideMark/>
          </w:tcPr>
          <w:p w14:paraId="2C997188" w14:textId="77777777" w:rsidR="0074511A" w:rsidRDefault="0074511A">
            <w:r>
              <w:t>(подпись)</w:t>
            </w:r>
          </w:p>
        </w:tc>
        <w:tc>
          <w:tcPr>
            <w:tcW w:w="0" w:type="auto"/>
            <w:vAlign w:val="center"/>
            <w:hideMark/>
          </w:tcPr>
          <w:p w14:paraId="15A52DF3" w14:textId="77777777"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794E8" w14:textId="77777777" w:rsidR="00585212" w:rsidRDefault="00585212" w:rsidP="00D47142">
      <w:r>
        <w:separator/>
      </w:r>
    </w:p>
  </w:endnote>
  <w:endnote w:type="continuationSeparator" w:id="0">
    <w:p w14:paraId="2157BCE8" w14:textId="77777777" w:rsidR="00585212" w:rsidRDefault="00585212"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DE3B" w14:textId="77777777" w:rsidR="00D47142" w:rsidRDefault="00D471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4340" w14:textId="77777777" w:rsidR="00D47142" w:rsidRDefault="00D47142" w:rsidP="00D47142">
    <w:pPr>
      <w:pStyle w:val="a7"/>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E02DA" w14:textId="77777777" w:rsidR="00D47142" w:rsidRDefault="00D471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73268" w14:textId="77777777" w:rsidR="00585212" w:rsidRDefault="00585212" w:rsidP="00D47142">
      <w:r>
        <w:separator/>
      </w:r>
    </w:p>
  </w:footnote>
  <w:footnote w:type="continuationSeparator" w:id="0">
    <w:p w14:paraId="222163E0" w14:textId="77777777" w:rsidR="00585212" w:rsidRDefault="00585212" w:rsidP="00D4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01AD6" w14:textId="77777777" w:rsidR="00D47142" w:rsidRDefault="00D471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B4815" w14:textId="77777777" w:rsidR="00D47142" w:rsidRDefault="00D4714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63AB7" w14:textId="77777777" w:rsidR="00D47142" w:rsidRDefault="00D4714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42"/>
    <w:rsid w:val="000B6422"/>
    <w:rsid w:val="000D3D3D"/>
    <w:rsid w:val="0015389F"/>
    <w:rsid w:val="001F1010"/>
    <w:rsid w:val="00467A05"/>
    <w:rsid w:val="00585212"/>
    <w:rsid w:val="005A1D93"/>
    <w:rsid w:val="00705BA6"/>
    <w:rsid w:val="0074511A"/>
    <w:rsid w:val="008E0719"/>
    <w:rsid w:val="00954C8F"/>
    <w:rsid w:val="009A204F"/>
    <w:rsid w:val="00C97D56"/>
    <w:rsid w:val="00D4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15:chartTrackingRefBased/>
  <w15:docId w15:val="{CCFF18FB-2FD0-4234-9917-B6419077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a6"/>
    <w:uiPriority w:val="99"/>
    <w:semiHidden/>
    <w:unhideWhenUsed/>
    <w:rsid w:val="00D47142"/>
    <w:pPr>
      <w:tabs>
        <w:tab w:val="center" w:pos="4677"/>
        <w:tab w:val="right" w:pos="9355"/>
      </w:tabs>
    </w:pPr>
  </w:style>
  <w:style w:type="character" w:customStyle="1" w:styleId="a6">
    <w:name w:val="Верхний колонтитул Знак"/>
    <w:basedOn w:val="a0"/>
    <w:link w:val="a5"/>
    <w:uiPriority w:val="99"/>
    <w:semiHidden/>
    <w:rsid w:val="00D47142"/>
    <w:rPr>
      <w:rFonts w:eastAsia="Times New Roman"/>
      <w:sz w:val="24"/>
      <w:szCs w:val="24"/>
    </w:rPr>
  </w:style>
  <w:style w:type="paragraph" w:styleId="a7">
    <w:name w:val="footer"/>
    <w:basedOn w:val="a"/>
    <w:link w:val="a8"/>
    <w:uiPriority w:val="99"/>
    <w:semiHidden/>
    <w:unhideWhenUsed/>
    <w:rsid w:val="00D47142"/>
    <w:pPr>
      <w:tabs>
        <w:tab w:val="center" w:pos="4677"/>
        <w:tab w:val="right" w:pos="9355"/>
      </w:tabs>
    </w:pPr>
  </w:style>
  <w:style w:type="character" w:customStyle="1" w:styleId="a8">
    <w:name w:val="Нижний колонтитул Знак"/>
    <w:basedOn w:val="a0"/>
    <w:link w:val="a7"/>
    <w:uiPriority w:val="99"/>
    <w:semiHidden/>
    <w:rsid w:val="00D47142"/>
    <w:rPr>
      <w:rFonts w:eastAsia="Times New Roman"/>
      <w:sz w:val="24"/>
      <w:szCs w:val="24"/>
    </w:rPr>
  </w:style>
  <w:style w:type="paragraph" w:styleId="a9">
    <w:name w:val="Balloon Text"/>
    <w:basedOn w:val="a"/>
    <w:link w:val="aa"/>
    <w:uiPriority w:val="99"/>
    <w:semiHidden/>
    <w:unhideWhenUsed/>
    <w:rsid w:val="009A204F"/>
    <w:rPr>
      <w:rFonts w:ascii="Segoe UI" w:hAnsi="Segoe UI" w:cs="Segoe UI"/>
      <w:sz w:val="18"/>
      <w:szCs w:val="18"/>
    </w:rPr>
  </w:style>
  <w:style w:type="character" w:customStyle="1" w:styleId="aa">
    <w:name w:val="Текст выноски Знак"/>
    <w:basedOn w:val="a0"/>
    <w:link w:val="a9"/>
    <w:uiPriority w:val="99"/>
    <w:semiHidden/>
    <w:rsid w:val="009A2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8</Pages>
  <Words>3693</Words>
  <Characters>21055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USER</cp:lastModifiedBy>
  <cp:revision>8</cp:revision>
  <cp:lastPrinted>2025-04-23T01:26:00Z</cp:lastPrinted>
  <dcterms:created xsi:type="dcterms:W3CDTF">2022-03-29T02:16:00Z</dcterms:created>
  <dcterms:modified xsi:type="dcterms:W3CDTF">2025-04-23T10:16:00Z</dcterms:modified>
</cp:coreProperties>
</file>